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left="-210" w:leftChars="-100" w:right="-210" w:rightChars="-100"/>
        <w:jc w:val="center"/>
        <w:rPr>
          <w:rFonts w:ascii="Times New Roman" w:hAnsi="Times New Roman" w:eastAsia="方正小标宋_GBK" w:cs="Times New Roman"/>
          <w:sz w:val="40"/>
          <w:szCs w:val="28"/>
        </w:rPr>
      </w:pPr>
      <w:bookmarkStart w:id="0" w:name="_Hlk123635647"/>
      <w:r>
        <w:rPr>
          <w:rFonts w:eastAsia="方正小标宋_GBK" w:cs="Times New Roman"/>
          <w:sz w:val="44"/>
          <w:szCs w:val="44"/>
        </w:rPr>
        <mc:AlternateContent>
          <mc:Choice Requires="wps">
            <w:drawing>
              <wp:anchor distT="45720" distB="45720" distL="114300" distR="114300" simplePos="0" relativeHeight="251659264" behindDoc="0" locked="0" layoutInCell="1" allowOverlap="1">
                <wp:simplePos x="0" y="0"/>
                <wp:positionH relativeFrom="column">
                  <wp:posOffset>2181860</wp:posOffset>
                </wp:positionH>
                <wp:positionV relativeFrom="paragraph">
                  <wp:posOffset>313690</wp:posOffset>
                </wp:positionV>
                <wp:extent cx="3116580" cy="1404620"/>
                <wp:effectExtent l="0" t="0" r="26670" b="1968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16580" cy="1404620"/>
                        </a:xfrm>
                        <a:prstGeom prst="rect">
                          <a:avLst/>
                        </a:prstGeom>
                        <a:solidFill>
                          <a:srgbClr val="FFFFFF"/>
                        </a:solidFill>
                        <a:ln w="9525">
                          <a:solidFill>
                            <a:srgbClr val="000000"/>
                          </a:solidFill>
                          <a:miter lim="800000"/>
                        </a:ln>
                      </wps:spPr>
                      <wps:txbx>
                        <w:txbxContent>
                          <w:p>
                            <w:pPr>
                              <w:rPr>
                                <w:color w:val="FF0000"/>
                              </w:rPr>
                            </w:pPr>
                            <w:r>
                              <w:rPr>
                                <w:rFonts w:hint="eastAsia"/>
                                <w:color w:val="FF0000"/>
                              </w:rPr>
                              <w:t>此稿件为初步成果，未经系统审核，仅供内部讨论，有待后续进一步完善提升。</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1.8pt;margin-top:24.7pt;height:110.6pt;width:245.4pt;mso-wrap-distance-bottom:3.6pt;mso-wrap-distance-left:9pt;mso-wrap-distance-right:9pt;mso-wrap-distance-top:3.6pt;z-index:251659264;mso-width-relative:page;mso-height-relative:margin;mso-height-percent:200;" fillcolor="#FFFFFF" filled="t" stroked="t" coordsize="21600,21600" o:gfxdata="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&#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YUaNzZAAAACgEAAA8AAAAAAAAAAQAgAAAAIgAAAGRy&#10;cy9kb3ducmV2LnhtbFBLAQIUABQAAAAIAIdO4kD06xrDPQIAAH4EAAAOAAAAAAAAAAEAIAAAACgB&#10;AABkcnMvZTJvRG9jLnhtbFBLBQYAAAAABgAGAFkBAADXBQAAAAA=&#10;">
                <v:fill on="t" focussize="0,0"/>
                <v:stroke color="#000000" miterlimit="8" joinstyle="miter"/>
                <v:imagedata o:title=""/>
                <o:lock v:ext="edit" aspectratio="f"/>
                <v:textbox style="mso-fit-shape-to-text:t;">
                  <w:txbxContent>
                    <w:p>
                      <w:pPr>
                        <w:rPr>
                          <w:color w:val="FF0000"/>
                        </w:rPr>
                      </w:pPr>
                      <w:r>
                        <w:rPr>
                          <w:rFonts w:hint="eastAsia"/>
                          <w:color w:val="FF0000"/>
                        </w:rPr>
                        <w:t>此稿件为初步成果，未经系统审核，仅供内部讨论，有待后续进一步完善提升。</w:t>
                      </w:r>
                    </w:p>
                  </w:txbxContent>
                </v:textbox>
                <w10:wrap type="square"/>
              </v:shape>
            </w:pict>
          </mc:Fallback>
        </mc:AlternateContent>
      </w:r>
    </w:p>
    <w:p>
      <w:pPr>
        <w:spacing w:line="560" w:lineRule="exact"/>
        <w:ind w:left="-210" w:leftChars="-100" w:right="-210" w:rightChars="-100"/>
        <w:jc w:val="center"/>
        <w:rPr>
          <w:rFonts w:ascii="Times New Roman" w:hAnsi="Times New Roman" w:eastAsia="方正小标宋_GBK" w:cs="Times New Roman"/>
          <w:sz w:val="40"/>
          <w:szCs w:val="28"/>
        </w:rPr>
      </w:pPr>
    </w:p>
    <w:p>
      <w:pPr>
        <w:spacing w:line="560" w:lineRule="exact"/>
        <w:ind w:left="-210" w:leftChars="-100" w:right="-210" w:rightChars="-100"/>
        <w:jc w:val="center"/>
        <w:rPr>
          <w:rFonts w:ascii="Times New Roman" w:hAnsi="Times New Roman" w:eastAsia="方正小标宋_GBK" w:cs="Times New Roman"/>
          <w:sz w:val="40"/>
          <w:szCs w:val="28"/>
        </w:rPr>
      </w:pPr>
    </w:p>
    <w:p>
      <w:pPr>
        <w:tabs>
          <w:tab w:val="left" w:pos="5026"/>
        </w:tabs>
        <w:spacing w:line="560" w:lineRule="exact"/>
        <w:ind w:left="-210" w:leftChars="-100" w:right="-210" w:rightChars="-100"/>
        <w:jc w:val="left"/>
        <w:rPr>
          <w:rFonts w:hint="eastAsia" w:ascii="Times New Roman" w:hAnsi="Times New Roman" w:eastAsia="方正小标宋_GBK" w:cs="Times New Roman"/>
          <w:sz w:val="40"/>
          <w:szCs w:val="28"/>
        </w:rPr>
      </w:pPr>
      <w:r>
        <w:rPr>
          <w:rFonts w:ascii="Times New Roman" w:hAnsi="Times New Roman" w:eastAsia="方正小标宋_GBK" w:cs="Times New Roman"/>
          <w:sz w:val="40"/>
          <w:szCs w:val="28"/>
        </w:rPr>
        <w:tab/>
      </w:r>
    </w:p>
    <w:p>
      <w:pPr>
        <w:spacing w:line="560" w:lineRule="exact"/>
        <w:ind w:left="-210" w:leftChars="-100" w:right="-210" w:rightChars="-100"/>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日月岛康养旅游度假区</w:t>
      </w:r>
      <w:r>
        <w:rPr>
          <w:rFonts w:hint="eastAsia" w:ascii="Times New Roman" w:hAnsi="Times New Roman" w:eastAsia="方正小标宋_GBK" w:cs="Times New Roman"/>
          <w:sz w:val="44"/>
          <w:szCs w:val="44"/>
        </w:rPr>
        <w:t>建设发展</w:t>
      </w:r>
      <w:r>
        <w:rPr>
          <w:rFonts w:ascii="Times New Roman" w:hAnsi="Times New Roman" w:eastAsia="方正小标宋_GBK" w:cs="Times New Roman"/>
          <w:sz w:val="44"/>
          <w:szCs w:val="44"/>
        </w:rPr>
        <w:t>规划</w:t>
      </w:r>
    </w:p>
    <w:bookmarkEnd w:id="0"/>
    <w:p>
      <w:pPr>
        <w:spacing w:line="560" w:lineRule="exact"/>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（初稿）</w:t>
      </w:r>
    </w:p>
    <w:p>
      <w:pPr>
        <w:jc w:val="center"/>
        <w:rPr>
          <w:rFonts w:ascii="Times New Roman" w:hAnsi="Times New Roman" w:eastAsia="方正小标宋_GBK" w:cs="Times New Roman"/>
          <w:sz w:val="32"/>
          <w:szCs w:val="32"/>
        </w:rPr>
      </w:pPr>
    </w:p>
    <w:p>
      <w:pPr>
        <w:jc w:val="center"/>
        <w:rPr>
          <w:rFonts w:ascii="Times New Roman" w:hAnsi="Times New Roman" w:eastAsia="方正小标宋_GBK" w:cs="Times New Roman"/>
          <w:sz w:val="32"/>
          <w:szCs w:val="32"/>
        </w:rPr>
      </w:pPr>
    </w:p>
    <w:p>
      <w:pPr>
        <w:jc w:val="center"/>
        <w:rPr>
          <w:rFonts w:ascii="Times New Roman" w:hAnsi="Times New Roman" w:eastAsia="方正小标宋_GBK" w:cs="Times New Roman"/>
          <w:sz w:val="32"/>
          <w:szCs w:val="32"/>
        </w:rPr>
      </w:pPr>
    </w:p>
    <w:p>
      <w:pPr>
        <w:jc w:val="center"/>
        <w:rPr>
          <w:rFonts w:ascii="Times New Roman" w:hAnsi="Times New Roman" w:eastAsia="方正小标宋_GBK" w:cs="Times New Roman"/>
          <w:sz w:val="32"/>
          <w:szCs w:val="32"/>
        </w:rPr>
      </w:pPr>
    </w:p>
    <w:p>
      <w:pPr>
        <w:jc w:val="center"/>
        <w:rPr>
          <w:rFonts w:ascii="Times New Roman" w:hAnsi="Times New Roman" w:eastAsia="方正小标宋_GBK" w:cs="Times New Roman"/>
          <w:sz w:val="32"/>
          <w:szCs w:val="32"/>
        </w:rPr>
      </w:pPr>
    </w:p>
    <w:p>
      <w:pPr>
        <w:jc w:val="center"/>
        <w:rPr>
          <w:rFonts w:ascii="Times New Roman" w:hAnsi="Times New Roman" w:eastAsia="方正小标宋_GBK" w:cs="Times New Roman"/>
          <w:sz w:val="32"/>
          <w:szCs w:val="32"/>
        </w:rPr>
      </w:pPr>
    </w:p>
    <w:p>
      <w:pPr>
        <w:jc w:val="center"/>
        <w:rPr>
          <w:rFonts w:ascii="Times New Roman" w:hAnsi="Times New Roman" w:eastAsia="方正小标宋_GBK" w:cs="Times New Roman"/>
          <w:sz w:val="32"/>
          <w:szCs w:val="32"/>
        </w:rPr>
      </w:pPr>
    </w:p>
    <w:p>
      <w:pPr>
        <w:jc w:val="center"/>
        <w:rPr>
          <w:rFonts w:ascii="Times New Roman" w:hAnsi="Times New Roman" w:eastAsia="方正小标宋_GBK" w:cs="Times New Roman"/>
          <w:sz w:val="32"/>
          <w:szCs w:val="32"/>
        </w:rPr>
      </w:pPr>
    </w:p>
    <w:p>
      <w:pPr>
        <w:jc w:val="center"/>
        <w:rPr>
          <w:rFonts w:ascii="Times New Roman" w:hAnsi="Times New Roman" w:eastAsia="方正小标宋_GBK" w:cs="Times New Roman"/>
          <w:sz w:val="32"/>
          <w:szCs w:val="32"/>
        </w:rPr>
      </w:pPr>
    </w:p>
    <w:p>
      <w:pPr>
        <w:jc w:val="center"/>
        <w:rPr>
          <w:rFonts w:ascii="Times New Roman" w:hAnsi="Times New Roman" w:eastAsia="方正小标宋_GBK" w:cs="Times New Roman"/>
          <w:sz w:val="32"/>
          <w:szCs w:val="32"/>
        </w:rPr>
      </w:pPr>
    </w:p>
    <w:p>
      <w:pPr>
        <w:jc w:val="center"/>
        <w:rPr>
          <w:rFonts w:hint="eastAsia" w:ascii="Times New Roman" w:hAnsi="Times New Roman" w:eastAsia="方正楷体_GBK" w:cs="Times New Roman"/>
          <w:sz w:val="32"/>
          <w:szCs w:val="32"/>
          <w:lang w:val="en-US" w:eastAsia="zh-CN"/>
        </w:rPr>
      </w:pPr>
      <w:r>
        <w:rPr>
          <w:rFonts w:hint="eastAsia" w:ascii="Times New Roman" w:hAnsi="Times New Roman" w:eastAsia="方正楷体_GBK" w:cs="Times New Roman"/>
          <w:sz w:val="32"/>
          <w:szCs w:val="32"/>
          <w:lang w:val="en-US" w:eastAsia="zh-CN"/>
        </w:rPr>
        <w:t>射阳文旅集团运营管理有限公司</w:t>
      </w:r>
    </w:p>
    <w:p>
      <w:pPr>
        <w:jc w:val="center"/>
        <w:rPr>
          <w:rFonts w:ascii="Times New Roman" w:hAnsi="Times New Roman" w:eastAsia="方正楷体_GBK" w:cs="Times New Roman"/>
          <w:sz w:val="32"/>
          <w:szCs w:val="32"/>
        </w:rPr>
        <w:sectPr>
          <w:footerReference r:id="rId3" w:type="default"/>
          <w:pgSz w:w="11906" w:h="16838"/>
          <w:pgMar w:top="1440" w:right="1800" w:bottom="1440" w:left="1800" w:header="851" w:footer="992" w:gutter="0"/>
          <w:cols w:space="425" w:num="1"/>
          <w:titlePg/>
          <w:docGrid w:type="lines" w:linePitch="312" w:charSpace="0"/>
        </w:sectPr>
      </w:pPr>
      <w:r>
        <w:rPr>
          <w:rFonts w:ascii="Times New Roman" w:hAnsi="Times New Roman" w:eastAsia="方正楷体_GBK" w:cs="Times New Roman"/>
          <w:sz w:val="32"/>
          <w:szCs w:val="32"/>
        </w:rPr>
        <w:t>202</w:t>
      </w:r>
      <w:r>
        <w:rPr>
          <w:rFonts w:hint="eastAsia" w:ascii="Times New Roman" w:hAnsi="Times New Roman" w:eastAsia="方正楷体_GBK" w:cs="Times New Roman"/>
          <w:sz w:val="32"/>
          <w:szCs w:val="32"/>
          <w:lang w:val="en-US" w:eastAsia="zh-CN"/>
        </w:rPr>
        <w:t>2</w:t>
      </w:r>
      <w:r>
        <w:rPr>
          <w:rFonts w:ascii="Times New Roman" w:hAnsi="Times New Roman" w:eastAsia="方正楷体_GBK" w:cs="Times New Roman"/>
          <w:sz w:val="32"/>
          <w:szCs w:val="32"/>
        </w:rPr>
        <w:t>年7月</w:t>
      </w:r>
    </w:p>
    <w:p>
      <w:pPr>
        <w:tabs>
          <w:tab w:val="left" w:pos="3955"/>
        </w:tabs>
        <w:spacing w:line="560" w:lineRule="exact"/>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目 录</w:t>
      </w:r>
    </w:p>
    <w:p>
      <w:pPr>
        <w:pStyle w:val="9"/>
        <w:tabs>
          <w:tab w:val="right" w:leader="dot" w:pos="8296"/>
        </w:tabs>
        <w:jc w:val="center"/>
        <w:rPr>
          <w:rFonts w:ascii="Times New Roman" w:hAnsi="Times New Roman" w:eastAsia="方正小标宋_GBK" w:cs="Times New Roman"/>
          <w:sz w:val="32"/>
          <w:szCs w:val="32"/>
        </w:rPr>
      </w:pPr>
    </w:p>
    <w:p>
      <w:pPr>
        <w:pStyle w:val="9"/>
        <w:tabs>
          <w:tab w:val="right" w:leader="dot" w:pos="8296"/>
        </w:tabs>
        <w:spacing w:line="500" w:lineRule="exact"/>
        <w:rPr>
          <w:rFonts w:ascii="Times New Roman" w:hAnsi="Times New Roman" w:cs="Times New Roman"/>
          <w:sz w:val="28"/>
          <w:szCs w:val="28"/>
          <w14:ligatures w14:val="standardContextual"/>
        </w:rPr>
      </w:pPr>
      <w:r>
        <w:rPr>
          <w:rFonts w:ascii="Times New Roman" w:hAnsi="Times New Roman" w:eastAsia="方正小标宋_GBK" w:cs="Times New Roman"/>
          <w:sz w:val="28"/>
          <w:szCs w:val="28"/>
        </w:rPr>
        <w:fldChar w:fldCharType="begin"/>
      </w:r>
      <w:r>
        <w:rPr>
          <w:rFonts w:ascii="Times New Roman" w:hAnsi="Times New Roman" w:eastAsia="方正小标宋_GBK" w:cs="Times New Roman"/>
          <w:sz w:val="28"/>
          <w:szCs w:val="28"/>
        </w:rPr>
        <w:instrText xml:space="preserve"> TOC \o "1-3" \h \z \u </w:instrText>
      </w:r>
      <w:r>
        <w:rPr>
          <w:rFonts w:ascii="Times New Roman" w:hAnsi="Times New Roman" w:eastAsia="方正小标宋_GBK" w:cs="Times New Roman"/>
          <w:sz w:val="28"/>
          <w:szCs w:val="28"/>
        </w:rPr>
        <w:fldChar w:fldCharType="separate"/>
      </w:r>
      <w:r>
        <w:fldChar w:fldCharType="begin"/>
      </w:r>
      <w:r>
        <w:instrText xml:space="preserve"> HYPERLINK \l "_Toc139881514" </w:instrText>
      </w:r>
      <w:r>
        <w:fldChar w:fldCharType="separate"/>
      </w:r>
      <w:r>
        <w:rPr>
          <w:rStyle w:val="14"/>
          <w:rFonts w:ascii="Times New Roman" w:hAnsi="Times New Roman" w:eastAsia="方正黑体_GBK" w:cs="Times New Roman"/>
          <w:sz w:val="28"/>
          <w:szCs w:val="28"/>
        </w:rPr>
        <w:t>第一章 现状基础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_Toc139881514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"_Toc139881515" </w:instrText>
      </w:r>
      <w:r>
        <w:fldChar w:fldCharType="separate"/>
      </w:r>
      <w:r>
        <w:rPr>
          <w:rStyle w:val="14"/>
          <w:rFonts w:ascii="Times New Roman" w:hAnsi="Times New Roman" w:eastAsia="方正楷体_GBK" w:cs="Times New Roman"/>
          <w:sz w:val="28"/>
          <w:szCs w:val="28"/>
        </w:rPr>
        <w:t>第一节 经济社会发展现状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_Toc139881515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6"/>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"_Toc139881516" </w:instrText>
      </w:r>
      <w:r>
        <w:fldChar w:fldCharType="separate"/>
      </w:r>
      <w:r>
        <w:rPr>
          <w:rStyle w:val="14"/>
          <w:rFonts w:ascii="Times New Roman" w:hAnsi="Times New Roman" w:eastAsia="方正楷体_GBK" w:cs="Times New Roman"/>
          <w:sz w:val="28"/>
          <w:szCs w:val="28"/>
        </w:rPr>
        <w:t>（一）经济发展情况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_Toc139881516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6"/>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"_Toc139881517" </w:instrText>
      </w:r>
      <w:r>
        <w:fldChar w:fldCharType="separate"/>
      </w:r>
      <w:r>
        <w:rPr>
          <w:rStyle w:val="14"/>
          <w:rFonts w:ascii="Times New Roman" w:hAnsi="Times New Roman" w:eastAsia="方正楷体_GBK" w:cs="Times New Roman"/>
          <w:sz w:val="28"/>
          <w:szCs w:val="28"/>
        </w:rPr>
        <w:t>（二）自然资源状况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_Toc139881517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6"/>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"_Toc139881518" </w:instrText>
      </w:r>
      <w:r>
        <w:fldChar w:fldCharType="separate"/>
      </w:r>
      <w:r>
        <w:rPr>
          <w:rStyle w:val="14"/>
          <w:rFonts w:ascii="Times New Roman" w:hAnsi="Times New Roman" w:eastAsia="方正楷体_GBK" w:cs="Times New Roman"/>
          <w:sz w:val="28"/>
          <w:szCs w:val="28"/>
        </w:rPr>
        <w:t>（三）主导产业发展现状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_Toc139881518 \h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"_Toc139881519" </w:instrText>
      </w:r>
      <w:r>
        <w:fldChar w:fldCharType="separate"/>
      </w:r>
      <w:r>
        <w:rPr>
          <w:rStyle w:val="14"/>
          <w:rFonts w:ascii="Times New Roman" w:hAnsi="Times New Roman" w:eastAsia="方正楷体_GBK" w:cs="Times New Roman"/>
          <w:sz w:val="28"/>
          <w:szCs w:val="28"/>
        </w:rPr>
        <w:t>第二节 能源消费现状</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p>
    <w:p>
      <w:pPr>
        <w:pStyle w:val="6"/>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"_Toc139881520" </w:instrText>
      </w:r>
      <w:r>
        <w:fldChar w:fldCharType="separate"/>
      </w:r>
      <w:r>
        <w:rPr>
          <w:rStyle w:val="14"/>
          <w:rFonts w:ascii="Times New Roman" w:hAnsi="Times New Roman" w:eastAsia="方正楷体_GBK" w:cs="Times New Roman"/>
          <w:sz w:val="28"/>
          <w:szCs w:val="28"/>
        </w:rPr>
        <w:t>（一）能耗总量及构成</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p>
    <w:p>
      <w:pPr>
        <w:pStyle w:val="6"/>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"_Toc139881521" </w:instrText>
      </w:r>
      <w:r>
        <w:fldChar w:fldCharType="separate"/>
      </w:r>
      <w:r>
        <w:rPr>
          <w:rStyle w:val="14"/>
          <w:rFonts w:ascii="Times New Roman" w:hAnsi="Times New Roman" w:eastAsia="方正楷体_GBK" w:cs="Times New Roman"/>
          <w:sz w:val="28"/>
          <w:szCs w:val="28"/>
        </w:rPr>
        <w:t>（二）能耗强度</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p>
    <w:p>
      <w:pPr>
        <w:pStyle w:val="6"/>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"_Toc139881522" </w:instrText>
      </w:r>
      <w:r>
        <w:fldChar w:fldCharType="separate"/>
      </w:r>
      <w:r>
        <w:rPr>
          <w:rStyle w:val="14"/>
          <w:rFonts w:ascii="Times New Roman" w:hAnsi="Times New Roman" w:eastAsia="方正楷体_GBK" w:cs="Times New Roman"/>
          <w:sz w:val="28"/>
          <w:szCs w:val="28"/>
        </w:rPr>
        <w:t>（三）分领域能耗结构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_Toc139881522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"_Toc139881523" </w:instrText>
      </w:r>
      <w:r>
        <w:fldChar w:fldCharType="separate"/>
      </w:r>
      <w:r>
        <w:rPr>
          <w:rStyle w:val="14"/>
          <w:rFonts w:ascii="Times New Roman" w:hAnsi="Times New Roman" w:eastAsia="方正楷体_GBK" w:cs="Times New Roman"/>
          <w:sz w:val="28"/>
          <w:szCs w:val="28"/>
        </w:rPr>
        <w:t>第三节 碳排放现状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_Toc139881523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6"/>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"_Toc139881524" </w:instrText>
      </w:r>
      <w:r>
        <w:fldChar w:fldCharType="separate"/>
      </w:r>
      <w:r>
        <w:rPr>
          <w:rStyle w:val="14"/>
          <w:rFonts w:ascii="Times New Roman" w:hAnsi="Times New Roman" w:eastAsia="方正楷体_GBK" w:cs="Times New Roman"/>
          <w:sz w:val="28"/>
          <w:szCs w:val="28"/>
        </w:rPr>
        <w:t>（一）碳排放总量及构成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_Toc139881524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6"/>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"_Toc139881525" </w:instrText>
      </w:r>
      <w:r>
        <w:fldChar w:fldCharType="separate"/>
      </w:r>
      <w:r>
        <w:rPr>
          <w:rStyle w:val="14"/>
          <w:rFonts w:ascii="Times New Roman" w:hAnsi="Times New Roman" w:eastAsia="方正楷体_GBK" w:cs="Times New Roman"/>
          <w:sz w:val="28"/>
          <w:szCs w:val="28"/>
        </w:rPr>
        <w:t>（二）碳排放强度</w:t>
      </w:r>
      <w:r>
        <w:rPr>
          <w:rFonts w:ascii="Times New Roman" w:hAnsi="Times New Roman" w:cs="Times New Roman"/>
          <w:sz w:val="28"/>
          <w:szCs w:val="28"/>
        </w:rPr>
        <w:tab/>
      </w:r>
      <w:r>
        <w:rPr>
          <w:rFonts w:hint="eastAsia" w:ascii="Times New Roman" w:hAnsi="Times New Roman" w:cs="Times New Roman"/>
          <w:sz w:val="28"/>
          <w:szCs w:val="28"/>
          <w:lang w:val="en-US" w:eastAsia="zh-CN"/>
        </w:rPr>
        <w:t>7</w:t>
      </w:r>
      <w:r>
        <w:rPr>
          <w:rFonts w:ascii="Times New Roman" w:hAnsi="Times New Roman" w:cs="Times New Roman"/>
          <w:sz w:val="28"/>
          <w:szCs w:val="28"/>
        </w:rPr>
        <w:fldChar w:fldCharType="end"/>
      </w:r>
    </w:p>
    <w:p>
      <w:pPr>
        <w:pStyle w:val="6"/>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"_Toc139881526" </w:instrText>
      </w:r>
      <w:r>
        <w:fldChar w:fldCharType="separate"/>
      </w:r>
      <w:r>
        <w:rPr>
          <w:rStyle w:val="14"/>
          <w:rFonts w:ascii="Times New Roman" w:hAnsi="Times New Roman" w:eastAsia="方正楷体_GBK" w:cs="Times New Roman"/>
          <w:sz w:val="28"/>
          <w:szCs w:val="28"/>
        </w:rPr>
        <w:t>（三）分领域碳排放结构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_Toc139881526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"_Toc139881527" </w:instrText>
      </w:r>
      <w:r>
        <w:fldChar w:fldCharType="separate"/>
      </w:r>
      <w:r>
        <w:rPr>
          <w:rStyle w:val="14"/>
          <w:rFonts w:ascii="Times New Roman" w:hAnsi="Times New Roman" w:eastAsia="方正楷体_GBK" w:cs="Times New Roman"/>
          <w:sz w:val="28"/>
          <w:szCs w:val="28"/>
        </w:rPr>
        <w:t>第四节 现状总结</w:t>
      </w:r>
      <w:r>
        <w:rPr>
          <w:rFonts w:ascii="Times New Roman" w:hAnsi="Times New Roman" w:cs="Times New Roman"/>
          <w:sz w:val="28"/>
          <w:szCs w:val="28"/>
        </w:rPr>
        <w:tab/>
      </w:r>
      <w:r>
        <w:rPr>
          <w:rFonts w:hint="eastAsia" w:ascii="Times New Roman" w:hAnsi="Times New Roman" w:cs="Times New Roman"/>
          <w:sz w:val="28"/>
          <w:szCs w:val="28"/>
          <w:lang w:val="en-US" w:eastAsia="zh-CN"/>
        </w:rPr>
        <w:t>9</w:t>
      </w:r>
      <w:r>
        <w:rPr>
          <w:rFonts w:ascii="Times New Roman" w:hAnsi="Times New Roman" w:cs="Times New Roman"/>
          <w:sz w:val="28"/>
          <w:szCs w:val="28"/>
        </w:rPr>
        <w:fldChar w:fldCharType="end"/>
      </w:r>
    </w:p>
    <w:p>
      <w:pPr>
        <w:pStyle w:val="9"/>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"_Toc139881528" </w:instrText>
      </w:r>
      <w:r>
        <w:fldChar w:fldCharType="separate"/>
      </w:r>
      <w:r>
        <w:rPr>
          <w:rStyle w:val="14"/>
          <w:rFonts w:ascii="Times New Roman" w:hAnsi="Times New Roman" w:eastAsia="方正黑体_GBK" w:cs="Times New Roman"/>
          <w:sz w:val="28"/>
          <w:szCs w:val="28"/>
        </w:rPr>
        <w:t>第二章 总体思路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_Toc139881528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"_Toc139881529" </w:instrText>
      </w:r>
      <w:r>
        <w:fldChar w:fldCharType="separate"/>
      </w:r>
      <w:r>
        <w:rPr>
          <w:rStyle w:val="14"/>
          <w:rFonts w:ascii="Times New Roman" w:hAnsi="Times New Roman" w:eastAsia="方正楷体_GBK" w:cs="Times New Roman"/>
          <w:sz w:val="28"/>
          <w:szCs w:val="28"/>
        </w:rPr>
        <w:t>第一节 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_Toc139881529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"_Toc139881530" </w:instrText>
      </w:r>
      <w:r>
        <w:fldChar w:fldCharType="separate"/>
      </w:r>
      <w:r>
        <w:rPr>
          <w:rStyle w:val="14"/>
          <w:rFonts w:ascii="Times New Roman" w:hAnsi="Times New Roman" w:eastAsia="方正楷体_GBK" w:cs="Times New Roman"/>
          <w:sz w:val="28"/>
          <w:szCs w:val="28"/>
        </w:rPr>
        <w:t>第二节 发展</w:t>
      </w:r>
      <w:r>
        <w:rPr>
          <w:rStyle w:val="14"/>
          <w:rFonts w:hint="eastAsia" w:ascii="Times New Roman" w:hAnsi="Times New Roman" w:eastAsia="方正楷体_GBK" w:cs="Times New Roman"/>
          <w:sz w:val="28"/>
          <w:szCs w:val="28"/>
          <w:lang w:val="en-US" w:eastAsia="zh-CN"/>
        </w:rPr>
        <w:t>导向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_Toc139881530 \h </w:instrText>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"_Toc139881531" </w:instrText>
      </w:r>
      <w:r>
        <w:fldChar w:fldCharType="separate"/>
      </w:r>
      <w:r>
        <w:rPr>
          <w:rStyle w:val="14"/>
          <w:rFonts w:ascii="Times New Roman" w:hAnsi="Times New Roman" w:eastAsia="方正楷体_GBK" w:cs="Times New Roman"/>
          <w:sz w:val="28"/>
          <w:szCs w:val="28"/>
        </w:rPr>
        <w:t xml:space="preserve">第三节 </w:t>
      </w:r>
      <w:r>
        <w:rPr>
          <w:rStyle w:val="14"/>
          <w:rFonts w:hint="eastAsia" w:ascii="Times New Roman" w:hAnsi="Times New Roman" w:eastAsia="方正楷体_GBK" w:cs="Times New Roman"/>
          <w:sz w:val="28"/>
          <w:szCs w:val="28"/>
          <w:lang w:val="en-US" w:eastAsia="zh-CN"/>
        </w:rPr>
        <w:t>主要</w:t>
      </w:r>
      <w:r>
        <w:rPr>
          <w:rStyle w:val="14"/>
          <w:rFonts w:ascii="Times New Roman" w:hAnsi="Times New Roman" w:eastAsia="方正楷体_GBK" w:cs="Times New Roman"/>
          <w:sz w:val="28"/>
          <w:szCs w:val="28"/>
        </w:rPr>
        <w:t>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_Toc139881531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"_Toc139881543" </w:instrText>
      </w:r>
      <w:r>
        <w:fldChar w:fldCharType="separate"/>
      </w:r>
      <w:r>
        <w:rPr>
          <w:rStyle w:val="14"/>
          <w:rFonts w:ascii="Times New Roman" w:hAnsi="Times New Roman" w:eastAsia="方正黑体_GBK" w:cs="Times New Roman"/>
          <w:sz w:val="28"/>
          <w:szCs w:val="28"/>
        </w:rPr>
        <w:t>第</w:t>
      </w:r>
      <w:r>
        <w:rPr>
          <w:rStyle w:val="14"/>
          <w:rFonts w:hint="eastAsia" w:ascii="Times New Roman" w:hAnsi="Times New Roman" w:eastAsia="方正黑体_GBK" w:cs="Times New Roman"/>
          <w:sz w:val="28"/>
          <w:szCs w:val="28"/>
          <w:lang w:val="en-US" w:eastAsia="zh-CN"/>
        </w:rPr>
        <w:t>三</w:t>
      </w:r>
      <w:r>
        <w:rPr>
          <w:rStyle w:val="14"/>
          <w:rFonts w:ascii="Times New Roman" w:hAnsi="Times New Roman" w:eastAsia="方正黑体_GBK" w:cs="Times New Roman"/>
          <w:sz w:val="28"/>
          <w:szCs w:val="28"/>
        </w:rPr>
        <w:t>章 重点</w:t>
      </w:r>
      <w:r>
        <w:rPr>
          <w:rStyle w:val="14"/>
          <w:rFonts w:hint="eastAsia" w:ascii="Times New Roman" w:hAnsi="Times New Roman" w:eastAsia="方正黑体_GBK" w:cs="Times New Roman"/>
          <w:sz w:val="28"/>
          <w:szCs w:val="28"/>
          <w:lang w:val="en-US" w:eastAsia="zh-CN"/>
        </w:rPr>
        <w:t>任务</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10"/>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"_Toc139881544" </w:instrText>
      </w:r>
      <w:r>
        <w:fldChar w:fldCharType="separate"/>
      </w:r>
      <w:r>
        <w:rPr>
          <w:rStyle w:val="14"/>
          <w:rFonts w:ascii="Times New Roman" w:hAnsi="Times New Roman" w:eastAsia="方正楷体_GBK" w:cs="Times New Roman"/>
          <w:sz w:val="28"/>
          <w:szCs w:val="28"/>
        </w:rPr>
        <w:t xml:space="preserve">第一节 </w:t>
      </w:r>
      <w:r>
        <w:rPr>
          <w:rStyle w:val="14"/>
          <w:rFonts w:hint="eastAsia" w:ascii="Times New Roman" w:hAnsi="Times New Roman" w:eastAsia="方正楷体_GBK" w:cs="Times New Roman"/>
          <w:sz w:val="28"/>
          <w:szCs w:val="28"/>
          <w:lang w:val="en-US" w:eastAsia="zh-CN"/>
        </w:rPr>
        <w:t>发展低碳绿色经济，开展碳排放达峰行动</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"_Toc139881546" </w:instrText>
      </w:r>
      <w:r>
        <w:fldChar w:fldCharType="separate"/>
      </w:r>
      <w:r>
        <w:rPr>
          <w:rStyle w:val="14"/>
          <w:rFonts w:ascii="Times New Roman" w:hAnsi="Times New Roman" w:eastAsia="方正楷体_GBK" w:cs="Times New Roman"/>
          <w:sz w:val="28"/>
          <w:szCs w:val="28"/>
        </w:rPr>
        <w:t>（一）</w:t>
      </w:r>
      <w:r>
        <w:rPr>
          <w:rStyle w:val="14"/>
          <w:rFonts w:hint="eastAsia" w:ascii="Times New Roman" w:hAnsi="Times New Roman" w:eastAsia="方正楷体_GBK" w:cs="Times New Roman"/>
          <w:sz w:val="28"/>
          <w:szCs w:val="28"/>
          <w:lang w:val="en-US" w:eastAsia="zh-CN"/>
        </w:rPr>
        <w:t>落实碳排放达峰行动</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"_Toc139881547" </w:instrText>
      </w:r>
      <w:r>
        <w:fldChar w:fldCharType="separate"/>
      </w:r>
      <w:r>
        <w:rPr>
          <w:rStyle w:val="14"/>
          <w:rFonts w:ascii="Times New Roman" w:hAnsi="Times New Roman" w:eastAsia="方正楷体_GBK" w:cs="Times New Roman"/>
          <w:sz w:val="28"/>
          <w:szCs w:val="28"/>
        </w:rPr>
        <w:t>（二）</w:t>
      </w:r>
      <w:r>
        <w:rPr>
          <w:rStyle w:val="14"/>
          <w:rFonts w:hint="eastAsia" w:ascii="Times New Roman" w:hAnsi="Times New Roman" w:eastAsia="方正楷体_GBK" w:cs="Times New Roman"/>
          <w:sz w:val="28"/>
          <w:szCs w:val="28"/>
          <w:lang w:val="en-US" w:eastAsia="zh-CN"/>
        </w:rPr>
        <w:t>积极应对气候变化</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7</w:t>
      </w:r>
    </w:p>
    <w:p>
      <w:pPr>
        <w:pStyle w:val="6"/>
        <w:tabs>
          <w:tab w:val="right" w:leader="dot" w:pos="8296"/>
        </w:tabs>
        <w:spacing w:line="500" w:lineRule="exact"/>
      </w:pPr>
      <w:r>
        <w:fldChar w:fldCharType="begin"/>
      </w:r>
      <w:r>
        <w:instrText xml:space="preserve"> HYPERLINK \l "_Toc139881548" </w:instrText>
      </w:r>
      <w:r>
        <w:fldChar w:fldCharType="separate"/>
      </w:r>
      <w:r>
        <w:rPr>
          <w:rStyle w:val="14"/>
          <w:rFonts w:ascii="Times New Roman" w:hAnsi="Times New Roman" w:eastAsia="方正楷体_GBK" w:cs="Times New Roman"/>
          <w:sz w:val="28"/>
          <w:szCs w:val="28"/>
        </w:rPr>
        <w:t>（三）</w:t>
      </w:r>
      <w:r>
        <w:rPr>
          <w:rStyle w:val="14"/>
          <w:rFonts w:hint="eastAsia" w:ascii="Times New Roman" w:hAnsi="Times New Roman" w:eastAsia="方正楷体_GBK" w:cs="Times New Roman"/>
          <w:sz w:val="28"/>
          <w:szCs w:val="28"/>
          <w:lang w:val="en-US" w:eastAsia="zh-CN"/>
        </w:rPr>
        <w:t>打造低碳绿色经济体系</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7</w:t>
      </w:r>
    </w:p>
    <w:p>
      <w:pPr>
        <w:pStyle w:val="10"/>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"_Toc139881545" </w:instrText>
      </w:r>
      <w:r>
        <w:fldChar w:fldCharType="separate"/>
      </w:r>
      <w:r>
        <w:rPr>
          <w:rStyle w:val="14"/>
          <w:rFonts w:ascii="Times New Roman" w:hAnsi="Times New Roman" w:eastAsia="方正楷体_GBK" w:cs="Times New Roman"/>
          <w:sz w:val="28"/>
          <w:szCs w:val="28"/>
        </w:rPr>
        <w:t xml:space="preserve">第二节 </w:t>
      </w:r>
      <w:r>
        <w:rPr>
          <w:rStyle w:val="14"/>
          <w:rFonts w:hint="eastAsia" w:ascii="Times New Roman" w:hAnsi="Times New Roman" w:eastAsia="方正楷体_GBK" w:cs="Times New Roman"/>
          <w:sz w:val="28"/>
          <w:szCs w:val="28"/>
          <w:lang w:val="en-US" w:eastAsia="zh-CN"/>
        </w:rPr>
        <w:t>坚持多污染物协同控制，持续改善环境空气质量</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9</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"_Toc139881546" </w:instrText>
      </w:r>
      <w:r>
        <w:fldChar w:fldCharType="separate"/>
      </w:r>
      <w:r>
        <w:rPr>
          <w:rStyle w:val="14"/>
          <w:rFonts w:ascii="Times New Roman" w:hAnsi="Times New Roman" w:eastAsia="方正楷体_GBK" w:cs="Times New Roman"/>
          <w:sz w:val="28"/>
          <w:szCs w:val="28"/>
        </w:rPr>
        <w:t>（一）</w:t>
      </w:r>
      <w:r>
        <w:rPr>
          <w:rStyle w:val="14"/>
          <w:rFonts w:hint="eastAsia" w:ascii="Times New Roman" w:hAnsi="Times New Roman" w:eastAsia="方正楷体_GBK" w:cs="Times New Roman"/>
          <w:sz w:val="28"/>
          <w:szCs w:val="28"/>
          <w:lang w:val="en-US" w:eastAsia="zh-CN"/>
        </w:rPr>
        <w:t>推进 PM25和O3浓度“双控双减”</w:t>
      </w:r>
      <w:r>
        <w:rPr>
          <w:rFonts w:ascii="Times New Roman" w:hAnsi="Times New Roman" w:cs="Times New Roman"/>
          <w:sz w:val="28"/>
          <w:szCs w:val="28"/>
        </w:rPr>
        <w:tab/>
      </w:r>
      <w:r>
        <w:rPr>
          <w:rFonts w:hint="eastAsia" w:ascii="Times New Roman" w:hAnsi="Times New Roman" w:cs="Times New Roman"/>
          <w:sz w:val="28"/>
          <w:szCs w:val="28"/>
          <w:lang w:val="en-US" w:eastAsia="zh-CN"/>
        </w:rPr>
        <w:t>1</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9</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"_Toc139881547" </w:instrText>
      </w:r>
      <w:r>
        <w:fldChar w:fldCharType="separate"/>
      </w:r>
      <w:r>
        <w:rPr>
          <w:rStyle w:val="14"/>
          <w:rFonts w:ascii="Times New Roman" w:hAnsi="Times New Roman" w:eastAsia="方正楷体_GBK" w:cs="Times New Roman"/>
          <w:sz w:val="28"/>
          <w:szCs w:val="28"/>
        </w:rPr>
        <w:t>（二）</w:t>
      </w:r>
      <w:r>
        <w:rPr>
          <w:rStyle w:val="14"/>
          <w:rFonts w:hint="eastAsia" w:ascii="Times New Roman" w:hAnsi="Times New Roman" w:eastAsia="方正楷体_GBK" w:cs="Times New Roman"/>
          <w:sz w:val="28"/>
          <w:szCs w:val="28"/>
          <w:lang w:val="en-US" w:eastAsia="zh-CN"/>
        </w:rPr>
        <w:t>加大大气污染多源治理力度</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0</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"_Toc139881548" </w:instrText>
      </w:r>
      <w:r>
        <w:fldChar w:fldCharType="separate"/>
      </w:r>
      <w:r>
        <w:rPr>
          <w:rStyle w:val="14"/>
          <w:rFonts w:ascii="Times New Roman" w:hAnsi="Times New Roman" w:eastAsia="方正楷体_GBK" w:cs="Times New Roman"/>
          <w:sz w:val="28"/>
          <w:szCs w:val="28"/>
        </w:rPr>
        <w:t>（三）</w:t>
      </w:r>
      <w:r>
        <w:rPr>
          <w:rStyle w:val="14"/>
          <w:rFonts w:hint="eastAsia" w:ascii="Times New Roman" w:hAnsi="Times New Roman" w:eastAsia="方正楷体_GBK" w:cs="Times New Roman"/>
          <w:sz w:val="28"/>
          <w:szCs w:val="28"/>
          <w:lang w:val="en-US" w:eastAsia="zh-CN"/>
        </w:rPr>
        <w:t>加强其他涉气污染物治理</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"_Toc139881549" </w:instrText>
      </w:r>
      <w:r>
        <w:fldChar w:fldCharType="separate"/>
      </w:r>
      <w:r>
        <w:rPr>
          <w:rStyle w:val="14"/>
          <w:rFonts w:ascii="Times New Roman" w:hAnsi="Times New Roman" w:eastAsia="方正楷体_GBK" w:cs="Times New Roman"/>
          <w:sz w:val="28"/>
          <w:szCs w:val="28"/>
        </w:rPr>
        <w:t>（四）</w:t>
      </w:r>
      <w:r>
        <w:rPr>
          <w:rStyle w:val="14"/>
          <w:rFonts w:hint="eastAsia" w:ascii="Times New Roman" w:hAnsi="Times New Roman" w:eastAsia="方正楷体_GBK" w:cs="Times New Roman"/>
          <w:sz w:val="28"/>
          <w:szCs w:val="28"/>
          <w:lang w:val="en-US" w:eastAsia="zh-CN"/>
        </w:rPr>
        <w:t>加强联防联控和污染应对</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4</w:t>
      </w:r>
    </w:p>
    <w:p>
      <w:pPr>
        <w:pStyle w:val="10"/>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"_Toc139881555" </w:instrText>
      </w:r>
      <w:r>
        <w:fldChar w:fldCharType="separate"/>
      </w:r>
      <w:r>
        <w:rPr>
          <w:rStyle w:val="14"/>
          <w:rFonts w:ascii="Times New Roman" w:hAnsi="Times New Roman" w:eastAsia="方正楷体_GBK" w:cs="Times New Roman"/>
          <w:sz w:val="28"/>
          <w:szCs w:val="28"/>
        </w:rPr>
        <w:t xml:space="preserve">第三节 </w:t>
      </w:r>
      <w:r>
        <w:rPr>
          <w:rStyle w:val="14"/>
          <w:rFonts w:hint="eastAsia" w:ascii="Times New Roman" w:hAnsi="Times New Roman" w:eastAsia="方正楷体_GBK" w:cs="Times New Roman"/>
          <w:sz w:val="28"/>
          <w:szCs w:val="28"/>
          <w:lang w:val="en-US" w:eastAsia="zh-CN"/>
        </w:rPr>
        <w:t>做好“五篇”水文章，提高水生态环境质量</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"_Toc139881556" </w:instrText>
      </w:r>
      <w:r>
        <w:fldChar w:fldCharType="separate"/>
      </w:r>
      <w:r>
        <w:rPr>
          <w:rStyle w:val="14"/>
          <w:rFonts w:ascii="Times New Roman" w:hAnsi="Times New Roman" w:eastAsia="方正楷体_GBK" w:cs="Times New Roman"/>
          <w:sz w:val="28"/>
          <w:szCs w:val="28"/>
        </w:rPr>
        <w:t>（一）</w:t>
      </w:r>
      <w:r>
        <w:rPr>
          <w:rStyle w:val="14"/>
          <w:rFonts w:hint="eastAsia" w:ascii="Times New Roman" w:hAnsi="Times New Roman" w:eastAsia="方正楷体_GBK" w:cs="Times New Roman"/>
          <w:sz w:val="28"/>
          <w:szCs w:val="28"/>
          <w:lang w:val="en-US" w:eastAsia="zh-CN"/>
        </w:rPr>
        <w:t>综合治理水环境</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"_Toc139881557" </w:instrText>
      </w:r>
      <w:r>
        <w:fldChar w:fldCharType="separate"/>
      </w:r>
      <w:r>
        <w:rPr>
          <w:rStyle w:val="14"/>
          <w:rFonts w:ascii="Times New Roman" w:hAnsi="Times New Roman" w:eastAsia="方正楷体_GBK" w:cs="Times New Roman"/>
          <w:sz w:val="28"/>
          <w:szCs w:val="28"/>
        </w:rPr>
        <w:t>（二）</w:t>
      </w:r>
      <w:r>
        <w:rPr>
          <w:rStyle w:val="14"/>
          <w:rFonts w:hint="eastAsia" w:ascii="Times New Roman" w:hAnsi="Times New Roman" w:eastAsia="方正楷体_GBK" w:cs="Times New Roman"/>
          <w:sz w:val="28"/>
          <w:szCs w:val="28"/>
          <w:lang w:val="en-US" w:eastAsia="zh-CN"/>
        </w:rPr>
        <w:t>合理利用水资源</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7</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"_Toc139881558" </w:instrText>
      </w:r>
      <w:r>
        <w:fldChar w:fldCharType="separate"/>
      </w:r>
      <w:r>
        <w:rPr>
          <w:rStyle w:val="14"/>
          <w:rFonts w:ascii="Times New Roman" w:hAnsi="Times New Roman" w:eastAsia="方正楷体_GBK" w:cs="Times New Roman"/>
          <w:sz w:val="28"/>
          <w:szCs w:val="28"/>
        </w:rPr>
        <w:t>（三）</w:t>
      </w:r>
      <w:r>
        <w:rPr>
          <w:rStyle w:val="14"/>
          <w:rFonts w:hint="eastAsia" w:ascii="Times New Roman" w:hAnsi="Times New Roman" w:eastAsia="方正楷体_GBK" w:cs="Times New Roman"/>
          <w:sz w:val="28"/>
          <w:szCs w:val="28"/>
          <w:lang w:val="en-US" w:eastAsia="zh-CN"/>
        </w:rPr>
        <w:t>加快恢复水生态</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9</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"_Toc139881559" </w:instrText>
      </w:r>
      <w:r>
        <w:fldChar w:fldCharType="separate"/>
      </w:r>
      <w:r>
        <w:rPr>
          <w:rStyle w:val="14"/>
          <w:rFonts w:ascii="Times New Roman" w:hAnsi="Times New Roman" w:eastAsia="方正楷体_GBK" w:cs="Times New Roman"/>
          <w:sz w:val="28"/>
          <w:szCs w:val="28"/>
        </w:rPr>
        <w:t>（四）</w:t>
      </w:r>
      <w:r>
        <w:rPr>
          <w:rStyle w:val="14"/>
          <w:rFonts w:hint="eastAsia" w:ascii="Times New Roman" w:hAnsi="Times New Roman" w:eastAsia="方正楷体_GBK" w:cs="Times New Roman"/>
          <w:sz w:val="28"/>
          <w:szCs w:val="28"/>
          <w:lang w:val="en-US" w:eastAsia="zh-CN"/>
        </w:rPr>
        <w:t>加强保障水安全</w:t>
      </w:r>
      <w:r>
        <w:rPr>
          <w:rFonts w:ascii="Times New Roman" w:hAnsi="Times New Roman" w:cs="Times New Roman"/>
          <w:sz w:val="28"/>
          <w:szCs w:val="28"/>
        </w:rPr>
        <w:tab/>
      </w:r>
      <w:r>
        <w:rPr>
          <w:rFonts w:hint="eastAsia" w:ascii="Times New Roman" w:hAnsi="Times New Roman" w:cs="Times New Roman"/>
          <w:sz w:val="28"/>
          <w:szCs w:val="28"/>
          <w:lang w:val="en-US" w:eastAsia="zh-CN"/>
        </w:rPr>
        <w:t>2</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9</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"_Toc139881560" </w:instrText>
      </w:r>
      <w:r>
        <w:fldChar w:fldCharType="separate"/>
      </w:r>
      <w:r>
        <w:rPr>
          <w:rStyle w:val="14"/>
          <w:rFonts w:ascii="Times New Roman" w:hAnsi="Times New Roman" w:eastAsia="方正楷体_GBK" w:cs="Times New Roman"/>
          <w:sz w:val="28"/>
          <w:szCs w:val="28"/>
        </w:rPr>
        <w:t>（五）</w:t>
      </w:r>
      <w:r>
        <w:rPr>
          <w:rStyle w:val="14"/>
          <w:rFonts w:hint="eastAsia" w:ascii="Times New Roman" w:hAnsi="Times New Roman" w:eastAsia="方正楷体_GBK" w:cs="Times New Roman"/>
          <w:sz w:val="28"/>
          <w:szCs w:val="28"/>
          <w:lang w:val="en-US" w:eastAsia="zh-CN"/>
        </w:rPr>
        <w:t>大力弘扬水文化</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0</w:t>
      </w:r>
    </w:p>
    <w:p>
      <w:pPr>
        <w:pStyle w:val="10"/>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"_Toc139881555" </w:instrText>
      </w:r>
      <w:r>
        <w:fldChar w:fldCharType="separate"/>
      </w:r>
      <w:r>
        <w:rPr>
          <w:rStyle w:val="14"/>
          <w:rFonts w:ascii="Times New Roman" w:hAnsi="Times New Roman" w:eastAsia="方正楷体_GBK" w:cs="Times New Roman"/>
          <w:sz w:val="28"/>
          <w:szCs w:val="28"/>
        </w:rPr>
        <w:t>第</w:t>
      </w:r>
      <w:r>
        <w:rPr>
          <w:rStyle w:val="14"/>
          <w:rFonts w:hint="eastAsia" w:ascii="Times New Roman" w:hAnsi="Times New Roman" w:eastAsia="方正楷体_GBK" w:cs="Times New Roman"/>
          <w:sz w:val="28"/>
          <w:szCs w:val="28"/>
          <w:lang w:val="en-US" w:eastAsia="zh-CN"/>
        </w:rPr>
        <w:t>四</w:t>
      </w:r>
      <w:r>
        <w:rPr>
          <w:rStyle w:val="14"/>
          <w:rFonts w:ascii="Times New Roman" w:hAnsi="Times New Roman" w:eastAsia="方正楷体_GBK" w:cs="Times New Roman"/>
          <w:sz w:val="28"/>
          <w:szCs w:val="28"/>
        </w:rPr>
        <w:t xml:space="preserve">节 </w:t>
      </w:r>
      <w:r>
        <w:rPr>
          <w:rStyle w:val="14"/>
          <w:rFonts w:hint="eastAsia" w:ascii="Times New Roman" w:hAnsi="Times New Roman" w:eastAsia="方正楷体_GBK" w:cs="Times New Roman"/>
          <w:sz w:val="28"/>
          <w:szCs w:val="28"/>
          <w:lang w:val="en-US" w:eastAsia="zh-CN"/>
        </w:rPr>
        <w:t>坚持海陆协同治理，改善海洋生态环境质量</w:t>
      </w:r>
      <w:r>
        <w:rPr>
          <w:rFonts w:ascii="Times New Roman" w:hAnsi="Times New Roman" w:cs="Times New Roman"/>
          <w:sz w:val="28"/>
          <w:szCs w:val="28"/>
        </w:rPr>
        <w:tab/>
      </w:r>
      <w:r>
        <w:rPr>
          <w:rFonts w:hint="eastAsia" w:ascii="Times New Roman" w:hAnsi="Times New Roman" w:cs="Times New Roman"/>
          <w:sz w:val="28"/>
          <w:szCs w:val="28"/>
          <w:lang w:val="en-US" w:eastAsia="zh-CN"/>
        </w:rPr>
        <w:t>31</w:t>
      </w:r>
      <w:r>
        <w:rPr>
          <w:rFonts w:ascii="Times New Roman" w:hAnsi="Times New Roman" w:cs="Times New Roman"/>
          <w:sz w:val="28"/>
          <w:szCs w:val="28"/>
        </w:rPr>
        <w:fldChar w:fldCharType="end"/>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"_Toc139881556" </w:instrText>
      </w:r>
      <w:r>
        <w:fldChar w:fldCharType="separate"/>
      </w:r>
      <w:r>
        <w:rPr>
          <w:rStyle w:val="14"/>
          <w:rFonts w:ascii="Times New Roman" w:hAnsi="Times New Roman" w:eastAsia="方正楷体_GBK" w:cs="Times New Roman"/>
          <w:sz w:val="28"/>
          <w:szCs w:val="28"/>
        </w:rPr>
        <w:t>（一）</w:t>
      </w:r>
      <w:r>
        <w:rPr>
          <w:rStyle w:val="14"/>
          <w:rFonts w:hint="eastAsia" w:ascii="Times New Roman" w:hAnsi="Times New Roman" w:eastAsia="方正楷体_GBK" w:cs="Times New Roman"/>
          <w:sz w:val="28"/>
          <w:szCs w:val="28"/>
          <w:lang w:val="en-US" w:eastAsia="zh-CN"/>
        </w:rPr>
        <w:t>全面改善海洋环境质量</w:t>
      </w:r>
      <w:r>
        <w:rPr>
          <w:rFonts w:ascii="Times New Roman" w:hAnsi="Times New Roman" w:cs="Times New Roman"/>
          <w:sz w:val="28"/>
          <w:szCs w:val="28"/>
        </w:rPr>
        <w:tab/>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31</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"_Toc139881557" </w:instrText>
      </w:r>
      <w:r>
        <w:fldChar w:fldCharType="separate"/>
      </w:r>
      <w:r>
        <w:rPr>
          <w:rStyle w:val="14"/>
          <w:rFonts w:ascii="Times New Roman" w:hAnsi="Times New Roman" w:eastAsia="方正楷体_GBK" w:cs="Times New Roman"/>
          <w:sz w:val="28"/>
          <w:szCs w:val="28"/>
        </w:rPr>
        <w:t>（二）</w:t>
      </w:r>
      <w:r>
        <w:rPr>
          <w:rStyle w:val="14"/>
          <w:rFonts w:hint="eastAsia" w:ascii="Times New Roman" w:hAnsi="Times New Roman" w:eastAsia="方正楷体_GBK" w:cs="Times New Roman"/>
          <w:sz w:val="28"/>
          <w:szCs w:val="28"/>
          <w:lang w:val="en-US" w:eastAsia="zh-CN"/>
        </w:rPr>
        <w:t>推进海洋生态保护修复</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2</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"_Toc139881558" </w:instrText>
      </w:r>
      <w:r>
        <w:fldChar w:fldCharType="separate"/>
      </w:r>
      <w:r>
        <w:rPr>
          <w:rStyle w:val="14"/>
          <w:rFonts w:ascii="Times New Roman" w:hAnsi="Times New Roman" w:eastAsia="方正楷体_GBK" w:cs="Times New Roman"/>
          <w:sz w:val="28"/>
          <w:szCs w:val="28"/>
        </w:rPr>
        <w:t>（三）</w:t>
      </w:r>
      <w:r>
        <w:rPr>
          <w:rStyle w:val="14"/>
          <w:rFonts w:hint="eastAsia" w:ascii="Times New Roman" w:hAnsi="Times New Roman" w:eastAsia="方正楷体_GBK" w:cs="Times New Roman"/>
          <w:sz w:val="28"/>
          <w:szCs w:val="28"/>
          <w:lang w:val="en-US" w:eastAsia="zh-CN"/>
        </w:rPr>
        <w:t>合理开发利用海洋资源</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"_Toc139881559" </w:instrText>
      </w:r>
      <w:r>
        <w:fldChar w:fldCharType="separate"/>
      </w:r>
      <w:r>
        <w:rPr>
          <w:rStyle w:val="14"/>
          <w:rFonts w:ascii="Times New Roman" w:hAnsi="Times New Roman" w:eastAsia="方正楷体_GBK" w:cs="Times New Roman"/>
          <w:sz w:val="28"/>
          <w:szCs w:val="28"/>
        </w:rPr>
        <w:t>（四）</w:t>
      </w:r>
      <w:r>
        <w:rPr>
          <w:rStyle w:val="14"/>
          <w:rFonts w:hint="eastAsia" w:ascii="Times New Roman" w:hAnsi="Times New Roman" w:eastAsia="方正楷体_GBK" w:cs="Times New Roman"/>
          <w:sz w:val="28"/>
          <w:szCs w:val="28"/>
          <w:lang w:val="en-US" w:eastAsia="zh-CN"/>
        </w:rPr>
        <w:t>加强海洋环境风险防范</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w:t>
      </w:r>
    </w:p>
    <w:p>
      <w:pPr>
        <w:pStyle w:val="6"/>
        <w:tabs>
          <w:tab w:val="right" w:leader="dot" w:pos="8296"/>
        </w:tabs>
        <w:spacing w:line="500" w:lineRule="exact"/>
      </w:pPr>
      <w:r>
        <w:fldChar w:fldCharType="begin"/>
      </w:r>
      <w:r>
        <w:instrText xml:space="preserve"> HYPERLINK \l "_Toc139881560" </w:instrText>
      </w:r>
      <w:r>
        <w:fldChar w:fldCharType="separate"/>
      </w:r>
      <w:r>
        <w:rPr>
          <w:rStyle w:val="14"/>
          <w:rFonts w:ascii="Times New Roman" w:hAnsi="Times New Roman" w:eastAsia="方正楷体_GBK" w:cs="Times New Roman"/>
          <w:sz w:val="28"/>
          <w:szCs w:val="28"/>
        </w:rPr>
        <w:t>（五）</w:t>
      </w:r>
      <w:r>
        <w:rPr>
          <w:rStyle w:val="14"/>
          <w:rFonts w:hint="eastAsia" w:ascii="Times New Roman" w:hAnsi="Times New Roman" w:eastAsia="方正楷体_GBK" w:cs="Times New Roman"/>
          <w:sz w:val="28"/>
          <w:szCs w:val="28"/>
          <w:lang w:val="en-US" w:eastAsia="zh-CN"/>
        </w:rPr>
        <w:t>提高海洋环境保护能力</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4</w:t>
      </w:r>
    </w:p>
    <w:p>
      <w:pPr>
        <w:pStyle w:val="10"/>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"_Toc139881555" </w:instrText>
      </w:r>
      <w:r>
        <w:fldChar w:fldCharType="separate"/>
      </w:r>
      <w:r>
        <w:rPr>
          <w:rStyle w:val="14"/>
          <w:rFonts w:ascii="Times New Roman" w:hAnsi="Times New Roman" w:eastAsia="方正楷体_GBK" w:cs="Times New Roman"/>
          <w:sz w:val="28"/>
          <w:szCs w:val="28"/>
        </w:rPr>
        <w:t>第</w:t>
      </w:r>
      <w:r>
        <w:rPr>
          <w:rStyle w:val="14"/>
          <w:rFonts w:hint="eastAsia" w:ascii="Times New Roman" w:hAnsi="Times New Roman" w:eastAsia="方正楷体_GBK" w:cs="Times New Roman"/>
          <w:sz w:val="28"/>
          <w:szCs w:val="28"/>
          <w:lang w:val="en-US" w:eastAsia="zh-CN"/>
        </w:rPr>
        <w:t>五</w:t>
      </w:r>
      <w:r>
        <w:rPr>
          <w:rStyle w:val="14"/>
          <w:rFonts w:ascii="Times New Roman" w:hAnsi="Times New Roman" w:eastAsia="方正楷体_GBK" w:cs="Times New Roman"/>
          <w:sz w:val="28"/>
          <w:szCs w:val="28"/>
        </w:rPr>
        <w:t xml:space="preserve">节 </w:t>
      </w:r>
      <w:r>
        <w:rPr>
          <w:rStyle w:val="14"/>
          <w:rFonts w:hint="eastAsia" w:ascii="Times New Roman" w:hAnsi="Times New Roman" w:eastAsia="方正楷体_GBK" w:cs="Times New Roman"/>
          <w:sz w:val="28"/>
          <w:szCs w:val="28"/>
          <w:lang w:val="en-US" w:eastAsia="zh-CN"/>
        </w:rPr>
        <w:t>加强管控和安全利用，强化土壤和农村环境保护</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4</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"_Toc139881556" </w:instrText>
      </w:r>
      <w:r>
        <w:fldChar w:fldCharType="separate"/>
      </w:r>
      <w:r>
        <w:rPr>
          <w:rStyle w:val="14"/>
          <w:rFonts w:ascii="Times New Roman" w:hAnsi="Times New Roman" w:eastAsia="方正楷体_GBK" w:cs="Times New Roman"/>
          <w:sz w:val="28"/>
          <w:szCs w:val="28"/>
        </w:rPr>
        <w:t>（一）</w:t>
      </w:r>
      <w:r>
        <w:rPr>
          <w:rStyle w:val="14"/>
          <w:rFonts w:hint="eastAsia" w:ascii="Times New Roman" w:hAnsi="Times New Roman" w:eastAsia="方正楷体_GBK" w:cs="Times New Roman"/>
          <w:sz w:val="28"/>
          <w:szCs w:val="28"/>
          <w:lang w:val="en-US" w:eastAsia="zh-CN"/>
        </w:rPr>
        <w:t>加强土壤和地下水污染系统防控</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"_Toc139881557" </w:instrText>
      </w:r>
      <w:r>
        <w:fldChar w:fldCharType="separate"/>
      </w:r>
      <w:r>
        <w:rPr>
          <w:rStyle w:val="14"/>
          <w:rFonts w:ascii="Times New Roman" w:hAnsi="Times New Roman" w:eastAsia="方正楷体_GBK" w:cs="Times New Roman"/>
          <w:sz w:val="28"/>
          <w:szCs w:val="28"/>
        </w:rPr>
        <w:t>（二）</w:t>
      </w:r>
      <w:r>
        <w:rPr>
          <w:rStyle w:val="14"/>
          <w:rFonts w:hint="eastAsia" w:ascii="Times New Roman" w:hAnsi="Times New Roman" w:eastAsia="方正楷体_GBK" w:cs="Times New Roman"/>
          <w:sz w:val="28"/>
          <w:szCs w:val="28"/>
          <w:lang w:val="en-US" w:eastAsia="zh-CN"/>
        </w:rPr>
        <w:t>推进土壤安全利用</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"_Toc139881558" </w:instrText>
      </w:r>
      <w:r>
        <w:fldChar w:fldCharType="separate"/>
      </w:r>
      <w:r>
        <w:rPr>
          <w:rStyle w:val="14"/>
          <w:rFonts w:ascii="Times New Roman" w:hAnsi="Times New Roman" w:eastAsia="方正楷体_GBK" w:cs="Times New Roman"/>
          <w:sz w:val="28"/>
          <w:szCs w:val="28"/>
        </w:rPr>
        <w:t>（三）</w:t>
      </w:r>
      <w:r>
        <w:rPr>
          <w:rStyle w:val="14"/>
          <w:rFonts w:hint="eastAsia" w:ascii="Times New Roman" w:hAnsi="Times New Roman" w:eastAsia="方正楷体_GBK" w:cs="Times New Roman"/>
          <w:sz w:val="28"/>
          <w:szCs w:val="28"/>
          <w:lang w:val="en-US" w:eastAsia="zh-CN"/>
        </w:rPr>
        <w:t>提升重金属污染防治水平</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7</w:t>
      </w:r>
    </w:p>
    <w:p>
      <w:pPr>
        <w:pStyle w:val="6"/>
        <w:tabs>
          <w:tab w:val="right" w:leader="dot" w:pos="8296"/>
        </w:tabs>
        <w:spacing w:line="500" w:lineRule="exact"/>
      </w:pPr>
      <w:r>
        <w:fldChar w:fldCharType="begin"/>
      </w:r>
      <w:r>
        <w:instrText xml:space="preserve"> HYPERLINK \l "_Toc139881559" </w:instrText>
      </w:r>
      <w:r>
        <w:fldChar w:fldCharType="separate"/>
      </w:r>
      <w:r>
        <w:rPr>
          <w:rStyle w:val="14"/>
          <w:rFonts w:ascii="Times New Roman" w:hAnsi="Times New Roman" w:eastAsia="方正楷体_GBK" w:cs="Times New Roman"/>
          <w:sz w:val="28"/>
          <w:szCs w:val="28"/>
        </w:rPr>
        <w:t>（四）</w:t>
      </w:r>
      <w:r>
        <w:rPr>
          <w:rStyle w:val="14"/>
          <w:rFonts w:hint="eastAsia" w:ascii="Times New Roman" w:hAnsi="Times New Roman" w:eastAsia="方正楷体_GBK" w:cs="Times New Roman"/>
          <w:sz w:val="28"/>
          <w:szCs w:val="28"/>
          <w:lang w:val="en-US" w:eastAsia="zh-CN"/>
        </w:rPr>
        <w:t>强化农业面源及农村环境治理</w:t>
      </w:r>
      <w:r>
        <w:rPr>
          <w:rFonts w:ascii="Times New Roman" w:hAnsi="Times New Roman" w:cs="Times New Roman"/>
          <w:sz w:val="28"/>
          <w:szCs w:val="28"/>
        </w:rPr>
        <w:tab/>
      </w:r>
      <w:r>
        <w:rPr>
          <w:rFonts w:hint="eastAsia" w:ascii="Times New Roman" w:hAnsi="Times New Roman" w:cs="Times New Roman"/>
          <w:sz w:val="28"/>
          <w:szCs w:val="28"/>
          <w:lang w:val="en-US" w:eastAsia="zh-CN"/>
        </w:rPr>
        <w:t>3</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8</w:t>
      </w:r>
    </w:p>
    <w:p>
      <w:pPr>
        <w:pStyle w:val="10"/>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"_Toc139881555" </w:instrText>
      </w:r>
      <w:r>
        <w:fldChar w:fldCharType="separate"/>
      </w:r>
      <w:r>
        <w:rPr>
          <w:rStyle w:val="14"/>
          <w:rFonts w:ascii="Times New Roman" w:hAnsi="Times New Roman" w:eastAsia="方正楷体_GBK" w:cs="Times New Roman"/>
          <w:sz w:val="28"/>
          <w:szCs w:val="28"/>
        </w:rPr>
        <w:t>第</w:t>
      </w:r>
      <w:r>
        <w:rPr>
          <w:rStyle w:val="14"/>
          <w:rFonts w:hint="eastAsia" w:ascii="Times New Roman" w:hAnsi="Times New Roman" w:eastAsia="方正楷体_GBK" w:cs="Times New Roman"/>
          <w:sz w:val="28"/>
          <w:szCs w:val="28"/>
          <w:lang w:val="en-US" w:eastAsia="zh-CN"/>
        </w:rPr>
        <w:t>六</w:t>
      </w:r>
      <w:r>
        <w:rPr>
          <w:rStyle w:val="14"/>
          <w:rFonts w:ascii="Times New Roman" w:hAnsi="Times New Roman" w:eastAsia="方正楷体_GBK" w:cs="Times New Roman"/>
          <w:sz w:val="28"/>
          <w:szCs w:val="28"/>
        </w:rPr>
        <w:t xml:space="preserve">节 </w:t>
      </w:r>
      <w:r>
        <w:rPr>
          <w:rStyle w:val="14"/>
          <w:rFonts w:hint="eastAsia" w:ascii="Times New Roman" w:hAnsi="Times New Roman" w:eastAsia="方正楷体_GBK" w:cs="Times New Roman"/>
          <w:sz w:val="28"/>
          <w:szCs w:val="28"/>
          <w:lang w:val="en-US" w:eastAsia="zh-CN"/>
        </w:rPr>
        <w:t>加强生态空间保护，维护生态系统服务功能</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0</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"_Toc139881556" </w:instrText>
      </w:r>
      <w:r>
        <w:fldChar w:fldCharType="separate"/>
      </w:r>
      <w:r>
        <w:rPr>
          <w:rStyle w:val="14"/>
          <w:rFonts w:ascii="Times New Roman" w:hAnsi="Times New Roman" w:eastAsia="方正楷体_GBK" w:cs="Times New Roman"/>
          <w:sz w:val="28"/>
          <w:szCs w:val="28"/>
        </w:rPr>
        <w:t>（一）</w:t>
      </w:r>
      <w:r>
        <w:rPr>
          <w:rStyle w:val="14"/>
          <w:rFonts w:hint="eastAsia" w:ascii="Times New Roman" w:hAnsi="Times New Roman" w:eastAsia="方正楷体_GBK" w:cs="Times New Roman"/>
          <w:sz w:val="28"/>
          <w:szCs w:val="28"/>
          <w:lang w:val="en-US" w:eastAsia="zh-CN"/>
        </w:rPr>
        <w:t>推进山水林田湖草生态保护与修复</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0</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"_Toc139881557" </w:instrText>
      </w:r>
      <w:r>
        <w:fldChar w:fldCharType="separate"/>
      </w:r>
      <w:r>
        <w:rPr>
          <w:rStyle w:val="14"/>
          <w:rFonts w:ascii="Times New Roman" w:hAnsi="Times New Roman" w:eastAsia="方正楷体_GBK" w:cs="Times New Roman"/>
          <w:sz w:val="28"/>
          <w:szCs w:val="28"/>
        </w:rPr>
        <w:t>（二）</w:t>
      </w:r>
      <w:r>
        <w:rPr>
          <w:rStyle w:val="14"/>
          <w:rFonts w:hint="eastAsia" w:ascii="Times New Roman" w:hAnsi="Times New Roman" w:eastAsia="方正楷体_GBK" w:cs="Times New Roman"/>
          <w:sz w:val="28"/>
          <w:szCs w:val="28"/>
          <w:lang w:val="en-US" w:eastAsia="zh-CN"/>
        </w:rPr>
        <w:t>加强生物多样性保护</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1</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"_Toc139881558" </w:instrText>
      </w:r>
      <w:r>
        <w:fldChar w:fldCharType="separate"/>
      </w:r>
      <w:r>
        <w:rPr>
          <w:rStyle w:val="14"/>
          <w:rFonts w:ascii="Times New Roman" w:hAnsi="Times New Roman" w:eastAsia="方正楷体_GBK" w:cs="Times New Roman"/>
          <w:sz w:val="28"/>
          <w:szCs w:val="28"/>
        </w:rPr>
        <w:t>（三）</w:t>
      </w:r>
      <w:r>
        <w:rPr>
          <w:rStyle w:val="14"/>
          <w:rFonts w:hint="eastAsia" w:ascii="Times New Roman" w:hAnsi="Times New Roman" w:eastAsia="方正楷体_GBK" w:cs="Times New Roman"/>
          <w:sz w:val="28"/>
          <w:szCs w:val="28"/>
          <w:lang w:val="en-US" w:eastAsia="zh-CN"/>
        </w:rPr>
        <w:t>加强生物安全管理与防控</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1</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"_Toc139881559" </w:instrText>
      </w:r>
      <w:r>
        <w:fldChar w:fldCharType="separate"/>
      </w:r>
      <w:r>
        <w:rPr>
          <w:rStyle w:val="14"/>
          <w:rFonts w:ascii="Times New Roman" w:hAnsi="Times New Roman" w:eastAsia="方正楷体_GBK" w:cs="Times New Roman"/>
          <w:sz w:val="28"/>
          <w:szCs w:val="28"/>
        </w:rPr>
        <w:t>（四）</w:t>
      </w:r>
      <w:r>
        <w:rPr>
          <w:rStyle w:val="14"/>
          <w:rFonts w:hint="eastAsia" w:ascii="Times New Roman" w:hAnsi="Times New Roman" w:eastAsia="方正楷体_GBK" w:cs="Times New Roman"/>
          <w:sz w:val="28"/>
          <w:szCs w:val="28"/>
          <w:lang w:val="en-US" w:eastAsia="zh-CN"/>
        </w:rPr>
        <w:t>强化生态系统保护监督管理</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2</w:t>
      </w:r>
    </w:p>
    <w:p>
      <w:pPr>
        <w:pStyle w:val="10"/>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"_Toc139881555" </w:instrText>
      </w:r>
      <w:r>
        <w:fldChar w:fldCharType="separate"/>
      </w:r>
      <w:r>
        <w:rPr>
          <w:rStyle w:val="14"/>
          <w:rFonts w:ascii="Times New Roman" w:hAnsi="Times New Roman" w:eastAsia="方正楷体_GBK" w:cs="Times New Roman"/>
          <w:sz w:val="28"/>
          <w:szCs w:val="28"/>
        </w:rPr>
        <w:t>第</w:t>
      </w:r>
      <w:r>
        <w:rPr>
          <w:rStyle w:val="14"/>
          <w:rFonts w:hint="eastAsia" w:ascii="Times New Roman" w:hAnsi="Times New Roman" w:eastAsia="方正楷体_GBK" w:cs="Times New Roman"/>
          <w:sz w:val="28"/>
          <w:szCs w:val="28"/>
          <w:lang w:val="en-US" w:eastAsia="zh-CN"/>
        </w:rPr>
        <w:t>七</w:t>
      </w:r>
      <w:r>
        <w:rPr>
          <w:rStyle w:val="14"/>
          <w:rFonts w:ascii="Times New Roman" w:hAnsi="Times New Roman" w:eastAsia="方正楷体_GBK" w:cs="Times New Roman"/>
          <w:sz w:val="28"/>
          <w:szCs w:val="28"/>
        </w:rPr>
        <w:t xml:space="preserve">节 </w:t>
      </w:r>
      <w:r>
        <w:rPr>
          <w:rStyle w:val="14"/>
          <w:rFonts w:hint="eastAsia" w:ascii="Times New Roman" w:hAnsi="Times New Roman" w:eastAsia="方正楷体_GBK" w:cs="Times New Roman"/>
          <w:sz w:val="28"/>
          <w:szCs w:val="28"/>
          <w:lang w:val="en-US" w:eastAsia="zh-CN"/>
        </w:rPr>
        <w:t>强化风险系统防控，严守生态环境安全底线</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"_Toc139881556" </w:instrText>
      </w:r>
      <w:r>
        <w:fldChar w:fldCharType="separate"/>
      </w:r>
      <w:r>
        <w:rPr>
          <w:rStyle w:val="14"/>
          <w:rFonts w:ascii="Times New Roman" w:hAnsi="Times New Roman" w:eastAsia="方正楷体_GBK" w:cs="Times New Roman"/>
          <w:sz w:val="28"/>
          <w:szCs w:val="28"/>
        </w:rPr>
        <w:t>（一）</w:t>
      </w:r>
      <w:r>
        <w:rPr>
          <w:rStyle w:val="14"/>
          <w:rFonts w:hint="eastAsia" w:ascii="Times New Roman" w:hAnsi="Times New Roman" w:eastAsia="方正楷体_GBK" w:cs="Times New Roman"/>
          <w:sz w:val="28"/>
          <w:szCs w:val="28"/>
          <w:lang w:val="en-US" w:eastAsia="zh-CN"/>
        </w:rPr>
        <w:t>强化源头风险防控与应急</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w:t>
      </w:r>
    </w:p>
    <w:p>
      <w:pPr>
        <w:pStyle w:val="6"/>
        <w:tabs>
          <w:tab w:val="right" w:leader="dot" w:pos="8296"/>
        </w:tabs>
        <w:spacing w:line="500" w:lineRule="exact"/>
        <w:rPr>
          <w:rFonts w:hint="default"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"_Toc139881557" </w:instrText>
      </w:r>
      <w:r>
        <w:fldChar w:fldCharType="separate"/>
      </w:r>
      <w:r>
        <w:rPr>
          <w:rStyle w:val="14"/>
          <w:rFonts w:ascii="Times New Roman" w:hAnsi="Times New Roman" w:eastAsia="方正楷体_GBK" w:cs="Times New Roman"/>
          <w:sz w:val="28"/>
          <w:szCs w:val="28"/>
        </w:rPr>
        <w:t>（二）</w:t>
      </w:r>
      <w:r>
        <w:rPr>
          <w:rStyle w:val="14"/>
          <w:rFonts w:hint="eastAsia" w:ascii="Times New Roman" w:hAnsi="Times New Roman" w:eastAsia="方正楷体_GBK" w:cs="Times New Roman"/>
          <w:sz w:val="28"/>
          <w:szCs w:val="28"/>
          <w:lang w:val="en-US" w:eastAsia="zh-CN"/>
        </w:rPr>
        <w:t>推进固废危废处置水平</w:t>
      </w:r>
      <w:r>
        <w:rPr>
          <w:rFonts w:ascii="Times New Roman" w:hAnsi="Times New Roman" w:cs="Times New Roman"/>
          <w:sz w:val="28"/>
          <w:szCs w:val="28"/>
        </w:rPr>
        <w:tab/>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44</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"_Toc139881558" </w:instrText>
      </w:r>
      <w:r>
        <w:fldChar w:fldCharType="separate"/>
      </w:r>
      <w:r>
        <w:rPr>
          <w:rStyle w:val="14"/>
          <w:rFonts w:ascii="Times New Roman" w:hAnsi="Times New Roman" w:eastAsia="方正楷体_GBK" w:cs="Times New Roman"/>
          <w:sz w:val="28"/>
          <w:szCs w:val="28"/>
        </w:rPr>
        <w:t>（三）</w:t>
      </w:r>
      <w:r>
        <w:rPr>
          <w:rStyle w:val="14"/>
          <w:rFonts w:hint="eastAsia" w:ascii="Times New Roman" w:hAnsi="Times New Roman" w:eastAsia="方正楷体_GBK" w:cs="Times New Roman"/>
          <w:sz w:val="28"/>
          <w:szCs w:val="28"/>
          <w:lang w:val="en-US" w:eastAsia="zh-CN"/>
        </w:rPr>
        <w:t>提升核与辐射安全水平</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6"/>
        <w:tabs>
          <w:tab w:val="right" w:leader="dot" w:pos="8296"/>
        </w:tabs>
        <w:spacing w:line="500" w:lineRule="exact"/>
      </w:pPr>
      <w:r>
        <w:fldChar w:fldCharType="begin"/>
      </w:r>
      <w:r>
        <w:instrText xml:space="preserve"> HYPERLINK \l "_Toc139881559" </w:instrText>
      </w:r>
      <w:r>
        <w:fldChar w:fldCharType="separate"/>
      </w:r>
      <w:r>
        <w:rPr>
          <w:rStyle w:val="14"/>
          <w:rFonts w:ascii="Times New Roman" w:hAnsi="Times New Roman" w:eastAsia="方正楷体_GBK" w:cs="Times New Roman"/>
          <w:sz w:val="28"/>
          <w:szCs w:val="28"/>
        </w:rPr>
        <w:t>（四）</w:t>
      </w:r>
      <w:r>
        <w:rPr>
          <w:rStyle w:val="14"/>
          <w:rFonts w:hint="eastAsia" w:ascii="Times New Roman" w:hAnsi="Times New Roman" w:eastAsia="方正楷体_GBK" w:cs="Times New Roman"/>
          <w:sz w:val="28"/>
          <w:szCs w:val="28"/>
          <w:lang w:val="en-US" w:eastAsia="zh-CN"/>
        </w:rPr>
        <w:t>完善安全生产治理体系</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10"/>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"_Toc139881555" </w:instrText>
      </w:r>
      <w:r>
        <w:fldChar w:fldCharType="separate"/>
      </w:r>
      <w:r>
        <w:rPr>
          <w:rStyle w:val="14"/>
          <w:rFonts w:ascii="Times New Roman" w:hAnsi="Times New Roman" w:eastAsia="方正楷体_GBK" w:cs="Times New Roman"/>
          <w:sz w:val="28"/>
          <w:szCs w:val="28"/>
        </w:rPr>
        <w:t>第</w:t>
      </w:r>
      <w:r>
        <w:rPr>
          <w:rStyle w:val="14"/>
          <w:rFonts w:hint="eastAsia" w:ascii="Times New Roman" w:hAnsi="Times New Roman" w:eastAsia="方正楷体_GBK" w:cs="Times New Roman"/>
          <w:sz w:val="28"/>
          <w:szCs w:val="28"/>
          <w:lang w:val="en-US" w:eastAsia="zh-CN"/>
        </w:rPr>
        <w:t>八</w:t>
      </w:r>
      <w:r>
        <w:rPr>
          <w:rStyle w:val="14"/>
          <w:rFonts w:ascii="Times New Roman" w:hAnsi="Times New Roman" w:eastAsia="方正楷体_GBK" w:cs="Times New Roman"/>
          <w:sz w:val="28"/>
          <w:szCs w:val="28"/>
        </w:rPr>
        <w:t xml:space="preserve">节 </w:t>
      </w:r>
      <w:r>
        <w:rPr>
          <w:rStyle w:val="14"/>
          <w:rFonts w:hint="eastAsia" w:ascii="Times New Roman" w:hAnsi="Times New Roman" w:eastAsia="方正楷体_GBK" w:cs="Times New Roman"/>
          <w:sz w:val="28"/>
          <w:szCs w:val="28"/>
          <w:lang w:val="en-US" w:eastAsia="zh-CN"/>
        </w:rPr>
        <w:t>创新体制机制，推进环境治理体系和治理能力现代化</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7</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"_Toc139881556" </w:instrText>
      </w:r>
      <w:r>
        <w:fldChar w:fldCharType="separate"/>
      </w:r>
      <w:r>
        <w:rPr>
          <w:rStyle w:val="14"/>
          <w:rFonts w:ascii="Times New Roman" w:hAnsi="Times New Roman" w:eastAsia="方正楷体_GBK" w:cs="Times New Roman"/>
          <w:sz w:val="28"/>
          <w:szCs w:val="28"/>
        </w:rPr>
        <w:t>（一）</w:t>
      </w:r>
      <w:r>
        <w:rPr>
          <w:rStyle w:val="14"/>
          <w:rFonts w:hint="eastAsia" w:ascii="Times New Roman" w:hAnsi="Times New Roman" w:eastAsia="方正楷体_GBK" w:cs="Times New Roman"/>
          <w:sz w:val="28"/>
          <w:szCs w:val="28"/>
          <w:lang w:val="en-US" w:eastAsia="zh-CN"/>
        </w:rPr>
        <w:t>落实生态环境治理责任</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7</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"_Toc139881557" </w:instrText>
      </w:r>
      <w:r>
        <w:fldChar w:fldCharType="separate"/>
      </w:r>
      <w:r>
        <w:rPr>
          <w:rStyle w:val="14"/>
          <w:rFonts w:ascii="Times New Roman" w:hAnsi="Times New Roman" w:eastAsia="方正楷体_GBK" w:cs="Times New Roman"/>
          <w:sz w:val="28"/>
          <w:szCs w:val="28"/>
        </w:rPr>
        <w:t>（二）</w:t>
      </w:r>
      <w:r>
        <w:rPr>
          <w:rStyle w:val="14"/>
          <w:rFonts w:hint="eastAsia" w:ascii="Times New Roman" w:hAnsi="Times New Roman" w:eastAsia="方正楷体_GBK" w:cs="Times New Roman"/>
          <w:sz w:val="28"/>
          <w:szCs w:val="28"/>
          <w:lang w:val="en-US" w:eastAsia="zh-CN"/>
        </w:rPr>
        <w:t>优化生态环境监测体系</w:t>
      </w:r>
      <w:r>
        <w:rPr>
          <w:rFonts w:ascii="Times New Roman" w:hAnsi="Times New Roman" w:cs="Times New Roman"/>
          <w:sz w:val="28"/>
          <w:szCs w:val="28"/>
        </w:rPr>
        <w:tab/>
      </w:r>
      <w:r>
        <w:rPr>
          <w:rFonts w:hint="eastAsia" w:ascii="Times New Roman" w:hAnsi="Times New Roman" w:cs="Times New Roman"/>
          <w:sz w:val="28"/>
          <w:szCs w:val="28"/>
          <w:lang w:val="en-US" w:eastAsia="zh-CN"/>
        </w:rPr>
        <w:t>4</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8</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"_Toc139881558" </w:instrText>
      </w:r>
      <w:r>
        <w:fldChar w:fldCharType="separate"/>
      </w:r>
      <w:r>
        <w:rPr>
          <w:rStyle w:val="14"/>
          <w:rFonts w:ascii="Times New Roman" w:hAnsi="Times New Roman" w:eastAsia="方正楷体_GBK" w:cs="Times New Roman"/>
          <w:sz w:val="28"/>
          <w:szCs w:val="28"/>
        </w:rPr>
        <w:t>（三）</w:t>
      </w:r>
      <w:r>
        <w:rPr>
          <w:rStyle w:val="14"/>
          <w:rFonts w:hint="eastAsia" w:ascii="Times New Roman" w:hAnsi="Times New Roman" w:eastAsia="方正楷体_GBK" w:cs="Times New Roman"/>
          <w:sz w:val="28"/>
          <w:szCs w:val="28"/>
          <w:lang w:val="en-US" w:eastAsia="zh-CN"/>
        </w:rPr>
        <w:t>加强生态环境执法监管</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0</w:t>
      </w:r>
    </w:p>
    <w:p>
      <w:pPr>
        <w:pStyle w:val="10"/>
        <w:tabs>
          <w:tab w:val="right" w:leader="dot" w:pos="8296"/>
        </w:tabs>
        <w:spacing w:line="500" w:lineRule="exact"/>
        <w:ind w:firstLine="420" w:firstLineChars="200"/>
      </w:pPr>
      <w:r>
        <w:fldChar w:fldCharType="begin"/>
      </w:r>
      <w:r>
        <w:instrText xml:space="preserve"> HYPERLINK \l "_Toc139881559" </w:instrText>
      </w:r>
      <w:r>
        <w:fldChar w:fldCharType="separate"/>
      </w:r>
      <w:r>
        <w:rPr>
          <w:rStyle w:val="14"/>
          <w:rFonts w:ascii="Times New Roman" w:hAnsi="Times New Roman" w:eastAsia="方正楷体_GBK" w:cs="Times New Roman"/>
          <w:sz w:val="28"/>
          <w:szCs w:val="28"/>
        </w:rPr>
        <w:t>（四）</w:t>
      </w:r>
      <w:r>
        <w:rPr>
          <w:rStyle w:val="14"/>
          <w:rFonts w:hint="eastAsia" w:ascii="Times New Roman" w:hAnsi="Times New Roman" w:eastAsia="方正楷体_GBK" w:cs="Times New Roman"/>
          <w:sz w:val="28"/>
          <w:szCs w:val="28"/>
          <w:lang w:val="en-US" w:eastAsia="zh-CN"/>
        </w:rPr>
        <w:t>健全生态环境经济政策</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1</w:t>
      </w:r>
    </w:p>
    <w:p>
      <w:pPr>
        <w:pStyle w:val="10"/>
        <w:tabs>
          <w:tab w:val="right" w:leader="dot" w:pos="8296"/>
        </w:tabs>
        <w:spacing w:line="500" w:lineRule="exact"/>
        <w:ind w:firstLine="420" w:firstLineChars="200"/>
        <w:rPr>
          <w:rFonts w:hint="eastAsia" w:ascii="Times New Roman" w:hAnsi="Times New Roman" w:cs="Times New Roman"/>
          <w:sz w:val="28"/>
          <w:szCs w:val="28"/>
          <w:lang w:val="en-US" w:eastAsia="zh-CN"/>
        </w:rPr>
      </w:pPr>
      <w:r>
        <w:fldChar w:fldCharType="begin"/>
      </w:r>
      <w:r>
        <w:instrText xml:space="preserve"> HYPERLINK \l "_Toc139881559" </w:instrText>
      </w:r>
      <w:r>
        <w:fldChar w:fldCharType="separate"/>
      </w:r>
      <w:r>
        <w:rPr>
          <w:rStyle w:val="14"/>
          <w:rFonts w:ascii="Times New Roman" w:hAnsi="Times New Roman" w:eastAsia="方正楷体_GBK" w:cs="Times New Roman"/>
          <w:sz w:val="28"/>
          <w:szCs w:val="28"/>
        </w:rPr>
        <w:t>（</w:t>
      </w:r>
      <w:r>
        <w:rPr>
          <w:rStyle w:val="14"/>
          <w:rFonts w:hint="eastAsia" w:ascii="Times New Roman" w:hAnsi="Times New Roman" w:eastAsia="方正楷体_GBK" w:cs="Times New Roman"/>
          <w:sz w:val="28"/>
          <w:szCs w:val="28"/>
          <w:lang w:val="en-US" w:eastAsia="zh-CN"/>
        </w:rPr>
        <w:t>五</w:t>
      </w:r>
      <w:r>
        <w:rPr>
          <w:rStyle w:val="14"/>
          <w:rFonts w:ascii="Times New Roman" w:hAnsi="Times New Roman" w:eastAsia="方正楷体_GBK" w:cs="Times New Roman"/>
          <w:sz w:val="28"/>
          <w:szCs w:val="28"/>
        </w:rPr>
        <w:t>）</w:t>
      </w:r>
      <w:r>
        <w:rPr>
          <w:rStyle w:val="14"/>
          <w:rFonts w:hint="eastAsia" w:ascii="Times New Roman" w:hAnsi="Times New Roman" w:eastAsia="方正楷体_GBK" w:cs="Times New Roman"/>
          <w:sz w:val="28"/>
          <w:szCs w:val="28"/>
          <w:lang w:val="en-US" w:eastAsia="zh-CN"/>
        </w:rPr>
        <w:t>健全环境治理信用体系</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w:t>
      </w:r>
    </w:p>
    <w:p>
      <w:pPr>
        <w:pStyle w:val="10"/>
        <w:tabs>
          <w:tab w:val="right" w:leader="dot" w:pos="8296"/>
        </w:tabs>
        <w:spacing w:line="500" w:lineRule="exact"/>
        <w:ind w:firstLine="420" w:firstLineChars="200"/>
      </w:pPr>
      <w:r>
        <w:fldChar w:fldCharType="begin"/>
      </w:r>
      <w:r>
        <w:instrText xml:space="preserve"> HYPERLINK \l "_Toc139881559" </w:instrText>
      </w:r>
      <w:r>
        <w:fldChar w:fldCharType="separate"/>
      </w:r>
      <w:r>
        <w:rPr>
          <w:rStyle w:val="14"/>
          <w:rFonts w:ascii="Times New Roman" w:hAnsi="Times New Roman" w:eastAsia="方正楷体_GBK" w:cs="Times New Roman"/>
          <w:sz w:val="28"/>
          <w:szCs w:val="28"/>
        </w:rPr>
        <w:t>（</w:t>
      </w:r>
      <w:r>
        <w:rPr>
          <w:rStyle w:val="14"/>
          <w:rFonts w:hint="eastAsia" w:ascii="Times New Roman" w:hAnsi="Times New Roman" w:eastAsia="方正楷体_GBK" w:cs="Times New Roman"/>
          <w:sz w:val="28"/>
          <w:szCs w:val="28"/>
          <w:lang w:val="en-US" w:eastAsia="zh-CN"/>
        </w:rPr>
        <w:t>六</w:t>
      </w:r>
      <w:r>
        <w:rPr>
          <w:rStyle w:val="14"/>
          <w:rFonts w:ascii="Times New Roman" w:hAnsi="Times New Roman" w:eastAsia="方正楷体_GBK" w:cs="Times New Roman"/>
          <w:sz w:val="28"/>
          <w:szCs w:val="28"/>
        </w:rPr>
        <w:t>）</w:t>
      </w:r>
      <w:r>
        <w:rPr>
          <w:rStyle w:val="14"/>
          <w:rFonts w:hint="eastAsia" w:ascii="Times New Roman" w:hAnsi="Times New Roman" w:eastAsia="方正楷体_GBK" w:cs="Times New Roman"/>
          <w:sz w:val="28"/>
          <w:szCs w:val="28"/>
          <w:lang w:val="en-US" w:eastAsia="zh-CN"/>
        </w:rPr>
        <w:t>提升服务高质量发展水平</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3</w:t>
      </w:r>
    </w:p>
    <w:p>
      <w:pPr>
        <w:pStyle w:val="10"/>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"_Toc139881555" </w:instrText>
      </w:r>
      <w:r>
        <w:fldChar w:fldCharType="separate"/>
      </w:r>
      <w:r>
        <w:rPr>
          <w:rStyle w:val="14"/>
          <w:rFonts w:ascii="Times New Roman" w:hAnsi="Times New Roman" w:eastAsia="方正楷体_GBK" w:cs="Times New Roman"/>
          <w:sz w:val="28"/>
          <w:szCs w:val="28"/>
        </w:rPr>
        <w:t>第</w:t>
      </w:r>
      <w:r>
        <w:rPr>
          <w:rStyle w:val="14"/>
          <w:rFonts w:hint="eastAsia" w:ascii="Times New Roman" w:hAnsi="Times New Roman" w:eastAsia="方正楷体_GBK" w:cs="Times New Roman"/>
          <w:sz w:val="28"/>
          <w:szCs w:val="28"/>
          <w:lang w:val="en-US" w:eastAsia="zh-CN"/>
        </w:rPr>
        <w:t>九</w:t>
      </w:r>
      <w:r>
        <w:rPr>
          <w:rStyle w:val="14"/>
          <w:rFonts w:ascii="Times New Roman" w:hAnsi="Times New Roman" w:eastAsia="方正楷体_GBK" w:cs="Times New Roman"/>
          <w:sz w:val="28"/>
          <w:szCs w:val="28"/>
        </w:rPr>
        <w:t xml:space="preserve">节 </w:t>
      </w:r>
      <w:r>
        <w:rPr>
          <w:rStyle w:val="14"/>
          <w:rFonts w:hint="eastAsia" w:ascii="Times New Roman" w:hAnsi="Times New Roman" w:eastAsia="方正楷体_GBK" w:cs="Times New Roman"/>
          <w:sz w:val="28"/>
          <w:szCs w:val="28"/>
          <w:lang w:val="en-US" w:eastAsia="zh-CN"/>
        </w:rPr>
        <w:t>构建全民行动体系，推动形成绿色生活方式</w:t>
      </w:r>
      <w:r>
        <w:rPr>
          <w:rFonts w:ascii="Times New Roman" w:hAnsi="Times New Roman" w:cs="Times New Roman"/>
          <w:sz w:val="28"/>
          <w:szCs w:val="28"/>
        </w:rPr>
        <w:tab/>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55</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"_Toc139881556" </w:instrText>
      </w:r>
      <w:r>
        <w:fldChar w:fldCharType="separate"/>
      </w:r>
      <w:r>
        <w:rPr>
          <w:rStyle w:val="14"/>
          <w:rFonts w:ascii="Times New Roman" w:hAnsi="Times New Roman" w:eastAsia="方正楷体_GBK" w:cs="Times New Roman"/>
          <w:sz w:val="28"/>
          <w:szCs w:val="28"/>
        </w:rPr>
        <w:t>（一）</w:t>
      </w:r>
      <w:r>
        <w:rPr>
          <w:rStyle w:val="14"/>
          <w:rFonts w:hint="eastAsia" w:ascii="Times New Roman" w:hAnsi="Times New Roman" w:eastAsia="方正楷体_GBK" w:cs="Times New Roman"/>
          <w:sz w:val="28"/>
          <w:szCs w:val="28"/>
          <w:lang w:val="en-US" w:eastAsia="zh-CN"/>
        </w:rPr>
        <w:t>开展生态文明示范创建</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"_Toc139881557" </w:instrText>
      </w:r>
      <w:r>
        <w:fldChar w:fldCharType="separate"/>
      </w:r>
      <w:r>
        <w:rPr>
          <w:rStyle w:val="14"/>
          <w:rFonts w:ascii="Times New Roman" w:hAnsi="Times New Roman" w:eastAsia="方正楷体_GBK" w:cs="Times New Roman"/>
          <w:sz w:val="28"/>
          <w:szCs w:val="28"/>
        </w:rPr>
        <w:t>（二）</w:t>
      </w:r>
      <w:r>
        <w:rPr>
          <w:rStyle w:val="14"/>
          <w:rFonts w:hint="eastAsia" w:ascii="Times New Roman" w:hAnsi="Times New Roman" w:eastAsia="方正楷体_GBK" w:cs="Times New Roman"/>
          <w:sz w:val="28"/>
          <w:szCs w:val="28"/>
          <w:lang w:val="en-US" w:eastAsia="zh-CN"/>
        </w:rPr>
        <w:t>推广绿色低碳生活方式</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5</w:t>
      </w:r>
    </w:p>
    <w:p>
      <w:pPr>
        <w:pStyle w:val="6"/>
        <w:tabs>
          <w:tab w:val="right" w:leader="dot" w:pos="8296"/>
        </w:tabs>
        <w:spacing w:line="500" w:lineRule="exact"/>
        <w:rPr>
          <w:rFonts w:hint="eastAsia" w:ascii="Times New Roman" w:hAnsi="Times New Roman" w:cs="Times New Roman" w:eastAsiaTheme="minorEastAsia"/>
          <w:sz w:val="28"/>
          <w:szCs w:val="28"/>
          <w:lang w:val="en-US" w:eastAsia="zh-CN"/>
          <w14:ligatures w14:val="standardContextual"/>
        </w:rPr>
      </w:pPr>
      <w:r>
        <w:fldChar w:fldCharType="begin"/>
      </w:r>
      <w:r>
        <w:instrText xml:space="preserve"> HYPERLINK \l "_Toc139881558" </w:instrText>
      </w:r>
      <w:r>
        <w:fldChar w:fldCharType="separate"/>
      </w:r>
      <w:r>
        <w:rPr>
          <w:rStyle w:val="14"/>
          <w:rFonts w:ascii="Times New Roman" w:hAnsi="Times New Roman" w:eastAsia="方正楷体_GBK" w:cs="Times New Roman"/>
          <w:sz w:val="28"/>
          <w:szCs w:val="28"/>
        </w:rPr>
        <w:t>（三）</w:t>
      </w:r>
      <w:r>
        <w:rPr>
          <w:rStyle w:val="14"/>
          <w:rFonts w:hint="eastAsia" w:ascii="Times New Roman" w:hAnsi="Times New Roman" w:eastAsia="方正楷体_GBK" w:cs="Times New Roman"/>
          <w:sz w:val="28"/>
          <w:szCs w:val="28"/>
          <w:lang w:val="en-US" w:eastAsia="zh-CN"/>
        </w:rPr>
        <w:t>推进生态环境保护全民行动</w:t>
      </w:r>
      <w:r>
        <w:rPr>
          <w:rFonts w:ascii="Times New Roman" w:hAnsi="Times New Roman" w:cs="Times New Roman"/>
          <w:sz w:val="28"/>
          <w:szCs w:val="28"/>
        </w:rPr>
        <w:tab/>
      </w:r>
      <w:r>
        <w:rPr>
          <w:rFonts w:hint="eastAsia" w:ascii="Times New Roman" w:hAnsi="Times New Roman" w:cs="Times New Roman"/>
          <w:sz w:val="28"/>
          <w:szCs w:val="28"/>
          <w:lang w:val="en-US" w:eastAsia="zh-CN"/>
        </w:rPr>
        <w:t>5</w:t>
      </w:r>
      <w:r>
        <w:rPr>
          <w:rFonts w:ascii="Times New Roman" w:hAnsi="Times New Roman" w:cs="Times New Roman"/>
          <w:sz w:val="28"/>
          <w:szCs w:val="28"/>
        </w:rPr>
        <w:fldChar w:fldCharType="end"/>
      </w:r>
      <w:r>
        <w:rPr>
          <w:rFonts w:hint="eastAsia" w:ascii="Times New Roman" w:hAnsi="Times New Roman" w:cs="Times New Roman"/>
          <w:sz w:val="28"/>
          <w:szCs w:val="28"/>
          <w:lang w:val="en-US" w:eastAsia="zh-CN"/>
        </w:rPr>
        <w:t>6</w:t>
      </w:r>
    </w:p>
    <w:p>
      <w:pPr>
        <w:pStyle w:val="9"/>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"_Toc139881569" </w:instrText>
      </w:r>
      <w:r>
        <w:fldChar w:fldCharType="separate"/>
      </w:r>
      <w:r>
        <w:rPr>
          <w:rStyle w:val="14"/>
          <w:rFonts w:ascii="Times New Roman" w:hAnsi="Times New Roman" w:eastAsia="方正黑体_GBK" w:cs="Times New Roman"/>
          <w:sz w:val="28"/>
          <w:szCs w:val="28"/>
        </w:rPr>
        <w:t>第</w:t>
      </w:r>
      <w:r>
        <w:rPr>
          <w:rStyle w:val="14"/>
          <w:rFonts w:hint="eastAsia" w:ascii="Times New Roman" w:hAnsi="Times New Roman" w:eastAsia="方正黑体_GBK" w:cs="Times New Roman"/>
          <w:sz w:val="28"/>
          <w:szCs w:val="28"/>
          <w:lang w:val="en-US" w:eastAsia="zh-CN"/>
        </w:rPr>
        <w:t>四</w:t>
      </w:r>
      <w:r>
        <w:rPr>
          <w:rStyle w:val="14"/>
          <w:rFonts w:ascii="Times New Roman" w:hAnsi="Times New Roman" w:eastAsia="方正黑体_GBK" w:cs="Times New Roman"/>
          <w:sz w:val="28"/>
          <w:szCs w:val="28"/>
        </w:rPr>
        <w:t>章 保障措施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_Toc139881569 \h </w:instrText>
      </w:r>
      <w:r>
        <w:rPr>
          <w:rFonts w:ascii="Times New Roman" w:hAnsi="Times New Roman" w:cs="Times New Roman"/>
          <w:sz w:val="28"/>
          <w:szCs w:val="28"/>
        </w:rPr>
        <w:fldChar w:fldCharType="separate"/>
      </w:r>
      <w:r>
        <w:rPr>
          <w:rFonts w:hint="eastAsia" w:ascii="Times New Roman" w:hAnsi="Times New Roman" w:cs="Times New Roman"/>
          <w:sz w:val="28"/>
          <w:szCs w:val="28"/>
          <w:lang w:val="en-US" w:eastAsia="zh-CN"/>
        </w:rPr>
        <w:t>58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"_Toc139881570" </w:instrText>
      </w:r>
      <w:r>
        <w:fldChar w:fldCharType="separate"/>
      </w:r>
      <w:r>
        <w:rPr>
          <w:rStyle w:val="14"/>
          <w:rFonts w:ascii="Times New Roman" w:hAnsi="Times New Roman" w:eastAsia="方正楷体_GBK" w:cs="Times New Roman"/>
          <w:sz w:val="28"/>
          <w:szCs w:val="28"/>
        </w:rPr>
        <w:t xml:space="preserve">第一节 </w:t>
      </w:r>
      <w:r>
        <w:rPr>
          <w:rStyle w:val="14"/>
          <w:rFonts w:hint="eastAsia" w:ascii="Times New Roman" w:hAnsi="Times New Roman" w:eastAsia="方正楷体_GBK" w:cs="Times New Roman"/>
          <w:sz w:val="28"/>
          <w:szCs w:val="28"/>
          <w:lang w:val="en-US" w:eastAsia="zh-CN"/>
        </w:rPr>
        <w:t>完善规划统一体系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_Toc139881570 \h </w:instrText>
      </w:r>
      <w:r>
        <w:rPr>
          <w:rFonts w:ascii="Times New Roman" w:hAnsi="Times New Roman" w:cs="Times New Roman"/>
          <w:sz w:val="28"/>
          <w:szCs w:val="28"/>
        </w:rPr>
        <w:fldChar w:fldCharType="separate"/>
      </w:r>
      <w:r>
        <w:rPr>
          <w:rFonts w:hint="eastAsia" w:ascii="Times New Roman" w:hAnsi="Times New Roman" w:cs="Times New Roman"/>
          <w:sz w:val="28"/>
          <w:szCs w:val="28"/>
          <w:lang w:val="en-US" w:eastAsia="zh-CN"/>
        </w:rPr>
        <w:t>58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"_Toc139881571" </w:instrText>
      </w:r>
      <w:r>
        <w:fldChar w:fldCharType="separate"/>
      </w:r>
      <w:r>
        <w:rPr>
          <w:rStyle w:val="14"/>
          <w:rFonts w:ascii="Times New Roman" w:hAnsi="Times New Roman" w:eastAsia="方正楷体_GBK" w:cs="Times New Roman"/>
          <w:sz w:val="28"/>
          <w:szCs w:val="28"/>
        </w:rPr>
        <w:t xml:space="preserve">第二节 </w:t>
      </w:r>
      <w:r>
        <w:rPr>
          <w:rStyle w:val="14"/>
          <w:rFonts w:hint="eastAsia" w:ascii="Times New Roman" w:hAnsi="Times New Roman" w:eastAsia="方正楷体_GBK" w:cs="Times New Roman"/>
          <w:sz w:val="28"/>
          <w:szCs w:val="28"/>
          <w:lang w:val="en-US" w:eastAsia="zh-CN"/>
        </w:rPr>
        <w:t>强化规划评估督导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_Toc139881571 \h </w:instrText>
      </w:r>
      <w:r>
        <w:rPr>
          <w:rFonts w:ascii="Times New Roman" w:hAnsi="Times New Roman" w:cs="Times New Roman"/>
          <w:sz w:val="28"/>
          <w:szCs w:val="28"/>
        </w:rPr>
        <w:fldChar w:fldCharType="separate"/>
      </w:r>
      <w:r>
        <w:rPr>
          <w:rFonts w:hint="eastAsia" w:ascii="Times New Roman" w:hAnsi="Times New Roman" w:cs="Times New Roman"/>
          <w:sz w:val="28"/>
          <w:szCs w:val="28"/>
          <w:lang w:val="en-US" w:eastAsia="zh-CN"/>
        </w:rPr>
        <w:t>58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"_Toc139881572" </w:instrText>
      </w:r>
      <w:r>
        <w:fldChar w:fldCharType="separate"/>
      </w:r>
      <w:r>
        <w:rPr>
          <w:rStyle w:val="14"/>
          <w:rFonts w:ascii="Times New Roman" w:hAnsi="Times New Roman" w:eastAsia="方正楷体_GBK" w:cs="Times New Roman"/>
          <w:sz w:val="28"/>
          <w:szCs w:val="28"/>
        </w:rPr>
        <w:t xml:space="preserve">第三节 </w:t>
      </w:r>
      <w:r>
        <w:rPr>
          <w:rStyle w:val="14"/>
          <w:rFonts w:hint="eastAsia" w:ascii="Times New Roman" w:hAnsi="Times New Roman" w:eastAsia="方正楷体_GBK" w:cs="Times New Roman"/>
          <w:sz w:val="28"/>
          <w:szCs w:val="28"/>
          <w:lang w:val="en-US" w:eastAsia="zh-CN"/>
        </w:rPr>
        <w:t>加大资金投入力度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_Toc139881572 \h </w:instrText>
      </w:r>
      <w:r>
        <w:rPr>
          <w:rFonts w:ascii="Times New Roman" w:hAnsi="Times New Roman" w:cs="Times New Roman"/>
          <w:sz w:val="28"/>
          <w:szCs w:val="28"/>
        </w:rPr>
        <w:fldChar w:fldCharType="separate"/>
      </w:r>
      <w:r>
        <w:rPr>
          <w:rFonts w:hint="eastAsia" w:ascii="Times New Roman" w:hAnsi="Times New Roman" w:cs="Times New Roman"/>
          <w:sz w:val="28"/>
          <w:szCs w:val="28"/>
          <w:lang w:val="en-US" w:eastAsia="zh-CN"/>
        </w:rPr>
        <w:t>59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"_Toc139881573" </w:instrText>
      </w:r>
      <w:r>
        <w:fldChar w:fldCharType="separate"/>
      </w:r>
      <w:r>
        <w:rPr>
          <w:rStyle w:val="14"/>
          <w:rFonts w:ascii="Times New Roman" w:hAnsi="Times New Roman" w:eastAsia="方正楷体_GBK" w:cs="Times New Roman"/>
          <w:sz w:val="28"/>
          <w:szCs w:val="28"/>
        </w:rPr>
        <w:t xml:space="preserve">第四节 </w:t>
      </w:r>
      <w:r>
        <w:rPr>
          <w:rStyle w:val="14"/>
          <w:rFonts w:hint="eastAsia" w:ascii="Times New Roman" w:hAnsi="Times New Roman" w:eastAsia="方正楷体_GBK" w:cs="Times New Roman"/>
          <w:sz w:val="28"/>
          <w:szCs w:val="28"/>
          <w:lang w:val="en-US" w:eastAsia="zh-CN"/>
        </w:rPr>
        <w:t>打造生态环保铁军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_Toc139881573 \h </w:instrText>
      </w:r>
      <w:r>
        <w:rPr>
          <w:rFonts w:ascii="Times New Roman" w:hAnsi="Times New Roman" w:cs="Times New Roman"/>
          <w:sz w:val="28"/>
          <w:szCs w:val="28"/>
        </w:rPr>
        <w:fldChar w:fldCharType="separate"/>
      </w:r>
      <w:r>
        <w:rPr>
          <w:rFonts w:hint="eastAsia" w:ascii="Times New Roman" w:hAnsi="Times New Roman" w:cs="Times New Roman"/>
          <w:sz w:val="28"/>
          <w:szCs w:val="28"/>
          <w:lang w:val="en-US" w:eastAsia="zh-CN"/>
        </w:rPr>
        <w:t>59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8296"/>
        </w:tabs>
        <w:spacing w:line="500" w:lineRule="exact"/>
        <w:ind w:firstLine="420" w:firstLineChars="200"/>
      </w:pPr>
      <w:r>
        <w:fldChar w:fldCharType="begin"/>
      </w:r>
      <w:r>
        <w:instrText xml:space="preserve"> HYPERLINK \l "_Toc139881573" </w:instrText>
      </w:r>
      <w:r>
        <w:fldChar w:fldCharType="separate"/>
      </w:r>
      <w:r>
        <w:rPr>
          <w:rStyle w:val="14"/>
          <w:rFonts w:ascii="Times New Roman" w:hAnsi="Times New Roman" w:eastAsia="方正楷体_GBK" w:cs="Times New Roman"/>
          <w:sz w:val="28"/>
          <w:szCs w:val="28"/>
        </w:rPr>
        <w:t>第</w:t>
      </w:r>
      <w:r>
        <w:rPr>
          <w:rStyle w:val="14"/>
          <w:rFonts w:hint="eastAsia" w:ascii="Times New Roman" w:hAnsi="Times New Roman" w:eastAsia="方正楷体_GBK" w:cs="Times New Roman"/>
          <w:sz w:val="28"/>
          <w:szCs w:val="28"/>
          <w:lang w:val="en-US" w:eastAsia="zh-CN"/>
        </w:rPr>
        <w:t>五</w:t>
      </w:r>
      <w:r>
        <w:rPr>
          <w:rStyle w:val="14"/>
          <w:rFonts w:ascii="Times New Roman" w:hAnsi="Times New Roman" w:eastAsia="方正楷体_GBK" w:cs="Times New Roman"/>
          <w:sz w:val="28"/>
          <w:szCs w:val="28"/>
        </w:rPr>
        <w:t xml:space="preserve">节 </w:t>
      </w:r>
      <w:r>
        <w:rPr>
          <w:rStyle w:val="14"/>
          <w:rFonts w:hint="eastAsia" w:ascii="Times New Roman" w:hAnsi="Times New Roman" w:eastAsia="方正楷体_GBK" w:cs="Times New Roman"/>
          <w:sz w:val="28"/>
          <w:szCs w:val="28"/>
          <w:lang w:val="en-US" w:eastAsia="zh-CN"/>
        </w:rPr>
        <w:t>提升科技支撑能力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_Toc139881573 \h </w:instrText>
      </w:r>
      <w:r>
        <w:rPr>
          <w:rFonts w:ascii="Times New Roman" w:hAnsi="Times New Roman" w:cs="Times New Roman"/>
          <w:sz w:val="28"/>
          <w:szCs w:val="28"/>
        </w:rPr>
        <w:fldChar w:fldCharType="separate"/>
      </w:r>
      <w:r>
        <w:rPr>
          <w:rFonts w:hint="eastAsia" w:ascii="Times New Roman" w:hAnsi="Times New Roman" w:cs="Times New Roman"/>
          <w:sz w:val="28"/>
          <w:szCs w:val="28"/>
          <w:lang w:val="en-US" w:eastAsia="zh-CN"/>
        </w:rPr>
        <w:t>60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9"/>
        <w:tabs>
          <w:tab w:val="right" w:leader="dot" w:pos="8296"/>
        </w:tabs>
        <w:spacing w:line="500" w:lineRule="exact"/>
        <w:rPr>
          <w:rFonts w:ascii="Times New Roman" w:hAnsi="Times New Roman" w:cs="Times New Roman"/>
          <w:sz w:val="28"/>
          <w:szCs w:val="28"/>
          <w14:ligatures w14:val="standardContextual"/>
        </w:rPr>
      </w:pPr>
      <w:r>
        <w:fldChar w:fldCharType="begin"/>
      </w:r>
      <w:r>
        <w:instrText xml:space="preserve"> HYPERLINK \l "_Toc139881574" </w:instrText>
      </w:r>
      <w:r>
        <w:fldChar w:fldCharType="separate"/>
      </w:r>
      <w:r>
        <w:rPr>
          <w:rStyle w:val="14"/>
          <w:rFonts w:ascii="Times New Roman" w:hAnsi="Times New Roman" w:eastAsia="方正黑体_GBK" w:cs="Times New Roman"/>
          <w:sz w:val="28"/>
          <w:szCs w:val="28"/>
        </w:rPr>
        <w:t>附表</w:t>
      </w:r>
      <w:r>
        <w:rPr>
          <w:rStyle w:val="14"/>
          <w:rFonts w:hint="eastAsia" w:ascii="Times New Roman" w:hAnsi="Times New Roman" w:eastAsia="方正黑体_GBK" w:cs="Times New Roman"/>
          <w:sz w:val="28"/>
          <w:szCs w:val="28"/>
          <w:lang w:val="en-US" w:eastAsia="zh-CN"/>
        </w:rPr>
        <w:t xml:space="preserve"> </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_Toc139881574 \h </w:instrText>
      </w:r>
      <w:r>
        <w:rPr>
          <w:rFonts w:ascii="Times New Roman" w:hAnsi="Times New Roman" w:cs="Times New Roman"/>
          <w:sz w:val="28"/>
          <w:szCs w:val="28"/>
        </w:rPr>
        <w:fldChar w:fldCharType="separate"/>
      </w:r>
      <w:r>
        <w:rPr>
          <w:rFonts w:hint="eastAsia" w:ascii="Times New Roman" w:hAnsi="Times New Roman" w:cs="Times New Roman"/>
          <w:sz w:val="28"/>
          <w:szCs w:val="28"/>
          <w:lang w:val="en-US" w:eastAsia="zh-CN"/>
        </w:rPr>
        <w:t>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tabs>
          <w:tab w:val="left" w:pos="3955"/>
        </w:tabs>
        <w:spacing w:line="500" w:lineRule="exact"/>
        <w:rPr>
          <w:rFonts w:ascii="Times New Roman" w:hAnsi="Times New Roman" w:eastAsia="方正小标宋_GBK" w:cs="Times New Roman"/>
          <w:sz w:val="32"/>
          <w:szCs w:val="32"/>
        </w:rPr>
        <w:sectPr>
          <w:pgSz w:w="11906" w:h="16838"/>
          <w:pgMar w:top="1440" w:right="1800" w:bottom="1440" w:left="1800" w:header="851" w:footer="992" w:gutter="0"/>
          <w:pgNumType w:fmt="upperRoman" w:start="1"/>
          <w:cols w:space="425" w:num="1"/>
          <w:docGrid w:type="lines" w:linePitch="312" w:charSpace="0"/>
        </w:sectPr>
      </w:pPr>
      <w:r>
        <w:rPr>
          <w:rFonts w:ascii="Times New Roman" w:hAnsi="Times New Roman" w:eastAsia="方正小标宋_GBK" w:cs="Times New Roman"/>
          <w:sz w:val="28"/>
          <w:szCs w:val="28"/>
        </w:rPr>
        <w:fldChar w:fldCharType="end"/>
      </w:r>
      <w:r>
        <w:rPr>
          <w:rFonts w:ascii="Times New Roman" w:hAnsi="Times New Roman" w:eastAsia="方正小标宋_GBK" w:cs="Times New Roman"/>
          <w:sz w:val="32"/>
          <w:szCs w:val="32"/>
        </w:rPr>
        <w:tab/>
      </w:r>
      <w:bookmarkStart w:id="23" w:name="_GoBack"/>
      <w:bookmarkEnd w:id="23"/>
    </w:p>
    <w:p>
      <w:pPr>
        <w:pStyle w:val="2"/>
        <w:jc w:val="center"/>
        <w:rPr>
          <w:rFonts w:ascii="方正黑体_GBK" w:eastAsia="方正黑体_GBK"/>
          <w:b w:val="0"/>
          <w:bCs w:val="0"/>
          <w:sz w:val="32"/>
          <w:szCs w:val="32"/>
        </w:rPr>
      </w:pPr>
      <w:bookmarkStart w:id="1" w:name="_Toc139881514"/>
      <w:r>
        <w:rPr>
          <w:rFonts w:hint="eastAsia" w:ascii="方正黑体_GBK" w:eastAsia="方正黑体_GBK"/>
          <w:b w:val="0"/>
          <w:bCs w:val="0"/>
          <w:sz w:val="32"/>
          <w:szCs w:val="32"/>
        </w:rPr>
        <w:t>第一章 现状基础</w:t>
      </w:r>
      <w:bookmarkEnd w:id="1"/>
    </w:p>
    <w:p>
      <w:pPr>
        <w:pStyle w:val="3"/>
        <w:jc w:val="center"/>
        <w:rPr>
          <w:rFonts w:ascii="方正楷体_GBK" w:eastAsia="方正楷体_GBK"/>
          <w:b w:val="0"/>
          <w:bCs w:val="0"/>
        </w:rPr>
      </w:pPr>
      <w:bookmarkStart w:id="2" w:name="_Toc139881515"/>
      <w:r>
        <w:rPr>
          <w:rFonts w:hint="eastAsia" w:ascii="方正楷体_GBK" w:eastAsia="方正楷体_GBK"/>
          <w:b w:val="0"/>
          <w:bCs w:val="0"/>
        </w:rPr>
        <w:t>第一节 经济社会发展现状</w:t>
      </w:r>
      <w:bookmarkEnd w:id="2"/>
    </w:p>
    <w:p>
      <w:pPr>
        <w:pStyle w:val="4"/>
        <w:spacing w:before="0" w:after="0" w:line="415" w:lineRule="auto"/>
        <w:ind w:firstLine="640" w:firstLineChars="200"/>
        <w:rPr>
          <w:rFonts w:ascii="方正楷体_GBK" w:eastAsia="方正楷体_GBK"/>
          <w:b w:val="0"/>
          <w:bCs w:val="0"/>
        </w:rPr>
      </w:pPr>
      <w:bookmarkStart w:id="3" w:name="_Toc139881516"/>
      <w:r>
        <w:rPr>
          <w:rFonts w:hint="eastAsia" w:ascii="方正楷体_GBK" w:eastAsia="方正楷体_GBK"/>
          <w:b w:val="0"/>
          <w:bCs w:val="0"/>
        </w:rPr>
        <w:t>（一）经济发展情况</w:t>
      </w:r>
      <w:bookmarkEnd w:id="3"/>
    </w:p>
    <w:p>
      <w:pPr>
        <w:spacing w:line="600" w:lineRule="exact"/>
        <w:ind w:firstLine="640" w:firstLineChars="200"/>
        <w:rPr>
          <w:rFonts w:ascii="Times New Roman" w:hAnsi="Times New Roman" w:eastAsia="方正仿宋_GBK" w:cs="Times New Roman"/>
          <w:color w:val="FF0000"/>
          <w:sz w:val="32"/>
          <w:szCs w:val="32"/>
          <w:highlight w:val="yellow"/>
        </w:rPr>
      </w:pPr>
      <w:r>
        <w:rPr>
          <w:rFonts w:hint="default" w:ascii="Times New Roman" w:hAnsi="Times New Roman" w:eastAsia="方正仿宋_GBK" w:cs="Times New Roman"/>
          <w:color w:val="FF0000"/>
          <w:kern w:val="0"/>
          <w:sz w:val="32"/>
          <w:szCs w:val="32"/>
          <w:highlight w:val="yellow"/>
        </w:rPr>
        <w:t>日月岛</w:t>
      </w:r>
      <w:r>
        <w:rPr>
          <w:rFonts w:hint="default" w:ascii="Times New Roman" w:hAnsi="Times New Roman" w:eastAsia="方正仿宋_GBK" w:cs="Times New Roman"/>
          <w:color w:val="FF0000"/>
          <w:kern w:val="0"/>
          <w:sz w:val="32"/>
          <w:szCs w:val="32"/>
          <w:highlight w:val="yellow"/>
          <w:lang w:val="en-US" w:eastAsia="zh-CN"/>
        </w:rPr>
        <w:t>康养旅游度假</w:t>
      </w:r>
      <w:r>
        <w:rPr>
          <w:rFonts w:hint="default" w:ascii="Times New Roman" w:hAnsi="Times New Roman" w:eastAsia="方正仿宋_GBK" w:cs="Times New Roman"/>
          <w:color w:val="FF0000"/>
          <w:kern w:val="0"/>
          <w:sz w:val="32"/>
          <w:szCs w:val="32"/>
          <w:highlight w:val="yellow"/>
        </w:rPr>
        <w:t>区是射阳文旅集团于2019年投资兴建的省级重点旅游项目。项目总投资202亿元，东临黄海湿地，西连射阳县城，北枕射阳河，南同盐城丹顶鹤自然保护区相望，盐射高速直达日月岛，幸福大道横贯东西。</w:t>
      </w:r>
    </w:p>
    <w:p>
      <w:pPr>
        <w:spacing w:line="600" w:lineRule="exact"/>
        <w:ind w:firstLine="640" w:firstLineChars="200"/>
        <w:rPr>
          <w:rFonts w:ascii="Times New Roman" w:hAnsi="Times New Roman" w:eastAsia="方正仿宋_GBK" w:cs="Times New Roman"/>
          <w:color w:val="FF0000"/>
          <w:sz w:val="32"/>
          <w:szCs w:val="32"/>
          <w:highlight w:val="yellow"/>
        </w:rPr>
      </w:pPr>
      <w:r>
        <w:rPr>
          <w:rFonts w:hint="default" w:ascii="Times New Roman" w:hAnsi="Times New Roman" w:eastAsia="方正仿宋_GBK" w:cs="Times New Roman"/>
          <w:color w:val="FF0000"/>
          <w:kern w:val="0"/>
          <w:sz w:val="32"/>
          <w:szCs w:val="32"/>
          <w:highlight w:val="yellow"/>
          <w:lang w:val="en-US" w:eastAsia="zh-CN"/>
        </w:rPr>
        <w:t>景</w:t>
      </w:r>
      <w:r>
        <w:rPr>
          <w:rFonts w:hint="default" w:ascii="Times New Roman" w:hAnsi="Times New Roman" w:eastAsia="方正仿宋_GBK" w:cs="Times New Roman"/>
          <w:color w:val="FF0000"/>
          <w:kern w:val="0"/>
          <w:sz w:val="32"/>
          <w:szCs w:val="32"/>
          <w:highlight w:val="yellow"/>
        </w:rPr>
        <w:t>区以“海风河韵、水绿生态”为主题，全面打造国家级生态旅游示范区和国家级旅游度假区</w:t>
      </w:r>
      <w:r>
        <w:rPr>
          <w:rFonts w:hint="eastAsia" w:ascii="Times New Roman" w:hAnsi="Times New Roman" w:eastAsia="方正仿宋_GBK" w:cs="Times New Roman"/>
          <w:color w:val="FF0000"/>
          <w:kern w:val="0"/>
          <w:sz w:val="32"/>
          <w:szCs w:val="32"/>
          <w:highlight w:val="yellow"/>
          <w:lang w:eastAsia="zh-CN"/>
        </w:rPr>
        <w:t>，</w:t>
      </w:r>
      <w:r>
        <w:rPr>
          <w:rFonts w:hint="default" w:ascii="Times New Roman" w:hAnsi="Times New Roman" w:eastAsia="方正仿宋_GBK" w:cs="Times New Roman"/>
          <w:color w:val="FF0000"/>
          <w:kern w:val="0"/>
          <w:sz w:val="32"/>
          <w:szCs w:val="32"/>
          <w:highlight w:val="yellow"/>
        </w:rPr>
        <w:t>2020年获评全国森林康养基地试点建设单位，2022年</w:t>
      </w:r>
      <w:r>
        <w:rPr>
          <w:rFonts w:hint="default" w:ascii="Times New Roman" w:hAnsi="Times New Roman" w:eastAsia="方正仿宋_GBK" w:cs="Times New Roman"/>
          <w:color w:val="FF0000"/>
          <w:kern w:val="0"/>
          <w:sz w:val="32"/>
          <w:szCs w:val="32"/>
          <w:highlight w:val="yellow"/>
          <w:lang w:val="en-US" w:eastAsia="zh-CN"/>
        </w:rPr>
        <w:t>荣获</w:t>
      </w:r>
      <w:r>
        <w:rPr>
          <w:rFonts w:hint="default" w:ascii="Times New Roman" w:hAnsi="Times New Roman" w:eastAsia="方正仿宋_GBK" w:cs="Times New Roman"/>
          <w:color w:val="FF0000"/>
          <w:kern w:val="0"/>
          <w:sz w:val="32"/>
          <w:szCs w:val="32"/>
          <w:highlight w:val="yellow"/>
        </w:rPr>
        <w:t>省级水利风景区。</w:t>
      </w:r>
      <w:r>
        <w:rPr>
          <w:rFonts w:hint="eastAsia" w:ascii="Times New Roman" w:hAnsi="Times New Roman" w:eastAsia="方正仿宋_GBK" w:cs="Times New Roman"/>
          <w:color w:val="FF0000"/>
          <w:sz w:val="32"/>
          <w:szCs w:val="32"/>
          <w:highlight w:val="yellow"/>
          <w:lang w:val="en-US" w:eastAsia="zh-CN"/>
        </w:rPr>
        <w:t>景</w:t>
      </w:r>
      <w:r>
        <w:rPr>
          <w:rFonts w:hint="eastAsia" w:ascii="Times New Roman" w:hAnsi="Times New Roman" w:eastAsia="方正仿宋_GBK" w:cs="Times New Roman"/>
          <w:color w:val="FF0000"/>
          <w:sz w:val="32"/>
          <w:szCs w:val="32"/>
          <w:highlight w:val="yellow"/>
        </w:rPr>
        <w:t>区共有</w:t>
      </w:r>
      <w:r>
        <w:rPr>
          <w:rFonts w:hint="eastAsia" w:ascii="Times New Roman" w:hAnsi="Times New Roman" w:eastAsia="方正仿宋_GBK" w:cs="Times New Roman"/>
          <w:color w:val="FF0000"/>
          <w:sz w:val="32"/>
          <w:szCs w:val="32"/>
          <w:highlight w:val="yellow"/>
          <w:lang w:val="en-US" w:eastAsia="zh-CN"/>
        </w:rPr>
        <w:t>业态5</w:t>
      </w:r>
      <w:r>
        <w:rPr>
          <w:rFonts w:hint="eastAsia" w:ascii="Times New Roman" w:hAnsi="Times New Roman" w:eastAsia="方正仿宋_GBK" w:cs="Times New Roman"/>
          <w:color w:val="FF0000"/>
          <w:sz w:val="32"/>
          <w:szCs w:val="32"/>
          <w:highlight w:val="yellow"/>
        </w:rPr>
        <w:t>0</w:t>
      </w:r>
      <w:r>
        <w:rPr>
          <w:rFonts w:hint="eastAsia" w:ascii="Times New Roman" w:hAnsi="Times New Roman" w:eastAsia="方正仿宋_GBK" w:cs="Times New Roman"/>
          <w:color w:val="FF0000"/>
          <w:sz w:val="32"/>
          <w:szCs w:val="32"/>
          <w:highlight w:val="yellow"/>
          <w:lang w:val="en-US" w:eastAsia="zh-CN"/>
        </w:rPr>
        <w:t>多</w:t>
      </w:r>
      <w:r>
        <w:rPr>
          <w:rFonts w:hint="eastAsia" w:ascii="Times New Roman" w:hAnsi="Times New Roman" w:eastAsia="方正仿宋_GBK" w:cs="Times New Roman"/>
          <w:color w:val="FF0000"/>
          <w:sz w:val="32"/>
          <w:szCs w:val="32"/>
          <w:highlight w:val="yellow"/>
        </w:rPr>
        <w:t>家，</w:t>
      </w:r>
      <w:r>
        <w:rPr>
          <w:rFonts w:hint="eastAsia" w:ascii="Times New Roman" w:hAnsi="Times New Roman" w:eastAsia="方正仿宋_GBK" w:cs="Times New Roman"/>
          <w:color w:val="FF0000"/>
          <w:sz w:val="32"/>
          <w:szCs w:val="32"/>
          <w:highlight w:val="yellow"/>
          <w:lang w:val="en-US" w:eastAsia="zh-CN"/>
        </w:rPr>
        <w:t>知名品牌20</w:t>
      </w:r>
      <w:r>
        <w:rPr>
          <w:rFonts w:hint="eastAsia" w:ascii="Times New Roman" w:hAnsi="Times New Roman" w:eastAsia="方正仿宋_GBK" w:cs="Times New Roman"/>
          <w:color w:val="FF0000"/>
          <w:sz w:val="32"/>
          <w:szCs w:val="32"/>
          <w:highlight w:val="yellow"/>
        </w:rPr>
        <w:t>家。202</w:t>
      </w:r>
      <w:r>
        <w:rPr>
          <w:rFonts w:hint="eastAsia" w:ascii="Times New Roman" w:hAnsi="Times New Roman" w:eastAsia="方正仿宋_GBK" w:cs="Times New Roman"/>
          <w:color w:val="FF0000"/>
          <w:sz w:val="32"/>
          <w:szCs w:val="32"/>
          <w:highlight w:val="yellow"/>
          <w:lang w:val="en-US" w:eastAsia="zh-CN"/>
        </w:rPr>
        <w:t>3</w:t>
      </w:r>
      <w:r>
        <w:rPr>
          <w:rFonts w:hint="eastAsia" w:ascii="Times New Roman" w:hAnsi="Times New Roman" w:eastAsia="方正仿宋_GBK" w:cs="Times New Roman"/>
          <w:color w:val="FF0000"/>
          <w:sz w:val="32"/>
          <w:szCs w:val="32"/>
          <w:highlight w:val="yellow"/>
        </w:rPr>
        <w:t>年，</w:t>
      </w:r>
      <w:r>
        <w:rPr>
          <w:rFonts w:hint="eastAsia" w:ascii="Times New Roman" w:hAnsi="Times New Roman" w:eastAsia="方正仿宋_GBK" w:cs="Times New Roman"/>
          <w:color w:val="FF0000"/>
          <w:sz w:val="32"/>
          <w:szCs w:val="32"/>
          <w:highlight w:val="yellow"/>
          <w:lang w:val="en-US" w:eastAsia="zh-CN"/>
        </w:rPr>
        <w:t>日月岛康养旅游度假区实现营收超5000万元</w:t>
      </w:r>
      <w:r>
        <w:rPr>
          <w:rFonts w:hint="eastAsia" w:ascii="Times New Roman" w:hAnsi="Times New Roman" w:eastAsia="方正仿宋_GBK" w:cs="Times New Roman"/>
          <w:color w:val="FF0000"/>
          <w:sz w:val="32"/>
          <w:szCs w:val="32"/>
          <w:highlight w:val="yellow"/>
        </w:rPr>
        <w:t>，</w:t>
      </w:r>
      <w:r>
        <w:rPr>
          <w:rFonts w:hint="eastAsia" w:ascii="Times New Roman" w:hAnsi="Times New Roman" w:eastAsia="方正仿宋_GBK" w:cs="Times New Roman"/>
          <w:color w:val="FF0000"/>
          <w:sz w:val="32"/>
          <w:szCs w:val="32"/>
          <w:highlight w:val="yellow"/>
          <w:lang w:val="en-US" w:eastAsia="zh-CN"/>
        </w:rPr>
        <w:t>利润超千万</w:t>
      </w:r>
      <w:r>
        <w:rPr>
          <w:rFonts w:hint="eastAsia" w:ascii="Times New Roman" w:hAnsi="Times New Roman" w:eastAsia="方正仿宋_GBK" w:cs="Times New Roman"/>
          <w:color w:val="FF0000"/>
          <w:sz w:val="32"/>
          <w:szCs w:val="32"/>
          <w:highlight w:val="yellow"/>
        </w:rPr>
        <w:t>。</w:t>
      </w:r>
    </w:p>
    <w:p>
      <w:pPr>
        <w:pStyle w:val="4"/>
        <w:spacing w:before="0" w:after="0" w:line="415" w:lineRule="auto"/>
        <w:ind w:firstLine="640" w:firstLineChars="200"/>
        <w:rPr>
          <w:rFonts w:ascii="方正楷体_GBK" w:eastAsia="方正楷体_GBK"/>
          <w:b w:val="0"/>
          <w:bCs w:val="0"/>
        </w:rPr>
      </w:pPr>
      <w:bookmarkStart w:id="4" w:name="_Toc139881517"/>
      <w:r>
        <w:rPr>
          <w:rFonts w:hint="eastAsia" w:ascii="方正楷体_GBK" w:eastAsia="方正楷体_GBK"/>
          <w:b w:val="0"/>
          <w:bCs w:val="0"/>
        </w:rPr>
        <w:t>（二）自然资源状况</w:t>
      </w:r>
      <w:bookmarkEnd w:id="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cs="Times New Roman"/>
          <w:color w:val="FF0000"/>
          <w:sz w:val="32"/>
          <w:szCs w:val="32"/>
          <w:highlight w:val="yellow"/>
        </w:rPr>
      </w:pPr>
      <w:r>
        <w:rPr>
          <w:rFonts w:hint="eastAsia" w:ascii="Times New Roman" w:hAnsi="Times New Roman" w:eastAsia="方正仿宋_GBK" w:cs="Times New Roman"/>
          <w:color w:val="FF0000"/>
          <w:sz w:val="32"/>
          <w:szCs w:val="32"/>
          <w:highlight w:val="yellow"/>
          <w:lang w:val="en-US" w:eastAsia="zh-CN"/>
        </w:rPr>
        <w:t>日月岛景区</w:t>
      </w:r>
      <w:r>
        <w:rPr>
          <w:rFonts w:hint="eastAsia" w:ascii="Times New Roman" w:hAnsi="Times New Roman" w:eastAsia="方正仿宋_GBK" w:cs="Times New Roman"/>
          <w:color w:val="FF0000"/>
          <w:sz w:val="32"/>
          <w:szCs w:val="32"/>
          <w:highlight w:val="yellow"/>
        </w:rPr>
        <w:t>生态优势明显，拥有林地苗圃、道路绿化、耕地鱼塘、滩涂湿地等丰富多样的自然资源。</w:t>
      </w:r>
      <w:r>
        <w:rPr>
          <w:rFonts w:hint="default" w:ascii="Times New Roman" w:hAnsi="Times New Roman" w:eastAsia="方正仿宋_GBK" w:cs="Times New Roman"/>
          <w:color w:val="FF0000"/>
          <w:sz w:val="32"/>
          <w:szCs w:val="40"/>
          <w:highlight w:val="yellow"/>
        </w:rPr>
        <w:t>日月岛规划总面积20平方公里（3万亩）其中岛屿面积12平方公里，水域面积5平方公里，外环面积3平方公里。</w:t>
      </w:r>
      <w:r>
        <w:rPr>
          <w:rFonts w:hint="eastAsia" w:ascii="Times New Roman" w:hAnsi="Times New Roman" w:eastAsia="方正仿宋_GBK" w:cs="Times New Roman"/>
          <w:color w:val="FF0000"/>
          <w:sz w:val="32"/>
          <w:szCs w:val="32"/>
          <w:highlight w:val="yellow"/>
          <w:lang w:val="en-US" w:eastAsia="zh-CN"/>
        </w:rPr>
        <w:t>绿植种类丰富，其中</w:t>
      </w:r>
      <w:r>
        <w:rPr>
          <w:rFonts w:hint="eastAsia" w:ascii="Times New Roman" w:hAnsi="Times New Roman" w:eastAsia="方正仿宋_GBK" w:cs="Times New Roman"/>
          <w:color w:val="FF0000"/>
          <w:sz w:val="32"/>
          <w:szCs w:val="32"/>
          <w:highlight w:val="yellow"/>
        </w:rPr>
        <w:t>林地主要包括国槐、女贞、</w:t>
      </w:r>
      <w:r>
        <w:rPr>
          <w:rFonts w:hint="eastAsia" w:ascii="Times New Roman" w:hAnsi="Times New Roman" w:eastAsia="方正仿宋_GBK" w:cs="Times New Roman"/>
          <w:color w:val="FF0000"/>
          <w:sz w:val="32"/>
          <w:szCs w:val="32"/>
          <w:highlight w:val="yellow"/>
          <w:lang w:val="en-US" w:eastAsia="zh-CN"/>
        </w:rPr>
        <w:t>中山杉、早樱、晚樱、</w:t>
      </w:r>
      <w:r>
        <w:rPr>
          <w:rFonts w:hint="eastAsia" w:ascii="Times New Roman" w:hAnsi="Times New Roman" w:eastAsia="方正仿宋_GBK" w:cs="Times New Roman"/>
          <w:color w:val="FF0000"/>
          <w:sz w:val="32"/>
          <w:szCs w:val="32"/>
          <w:highlight w:val="yellow"/>
        </w:rPr>
        <w:t>水杉等品种。</w:t>
      </w:r>
      <w:r>
        <w:rPr>
          <w:rFonts w:hint="default" w:ascii="Times New Roman" w:hAnsi="Times New Roman" w:eastAsia="方正仿宋_GBK" w:cs="Times New Roman"/>
          <w:color w:val="FF0000"/>
          <w:sz w:val="32"/>
          <w:szCs w:val="40"/>
          <w:highlight w:val="yellow"/>
        </w:rPr>
        <w:t>日月岛的主题是海风河韵、水绿生态，分为南岛和北岛，北岛主要以康养小镇为主，后期也会配套医疗设施等，同时整个北岛还包括4A级景区息心寺和18洞高尔夫球场，南岛以日月岛未来乡村社区为中心，核心部分由日月畅想主题馆、太空乐园、滨水商业街、傍水而建的七星茶社，葛军艺术馆、童话水乡民宿等等组成。</w:t>
      </w:r>
    </w:p>
    <w:p>
      <w:pPr>
        <w:pStyle w:val="4"/>
        <w:spacing w:before="0" w:after="0" w:line="415" w:lineRule="auto"/>
        <w:ind w:firstLine="640" w:firstLineChars="200"/>
        <w:rPr>
          <w:rFonts w:hint="eastAsia" w:ascii="方正楷体_GBK" w:eastAsia="方正楷体_GBK"/>
          <w:b w:val="0"/>
          <w:bCs w:val="0"/>
        </w:rPr>
      </w:pPr>
      <w:bookmarkStart w:id="5" w:name="_Toc139881518"/>
      <w:r>
        <w:rPr>
          <w:rFonts w:hint="eastAsia" w:ascii="Times New Roman" w:hAnsi="Times New Roman" w:eastAsia="方正仿宋_GBK" w:cs="Times New Roman"/>
          <w:b w:val="0"/>
          <w:bCs w:val="0"/>
          <w:color w:val="FF0000"/>
          <w:kern w:val="2"/>
          <w:sz w:val="32"/>
          <w:szCs w:val="40"/>
          <w:highlight w:val="yellow"/>
          <w:lang w:val="en-US" w:eastAsia="zh-CN" w:bidi="ar-SA"/>
        </w:rPr>
        <w:t>景区内的景观多以珍贵化、彩色化、本地化为主，大量的本土植物，保证景区内生态自然优美；同时考虑本地气候、土壤原有植被条件等选种了外来品种，提高景观效果；并选择群落化的种植方式，保证物种多样性，并考虑四季的变换达到四季皆有景可赏，也达到在同一时间段上景观的丰富度。</w:t>
      </w:r>
    </w:p>
    <w:p>
      <w:pPr>
        <w:pStyle w:val="4"/>
        <w:spacing w:before="0" w:after="0" w:line="415" w:lineRule="auto"/>
        <w:ind w:firstLine="640" w:firstLineChars="200"/>
        <w:rPr>
          <w:rFonts w:ascii="方正楷体_GBK" w:eastAsia="方正楷体_GBK"/>
          <w:b w:val="0"/>
          <w:bCs w:val="0"/>
        </w:rPr>
      </w:pPr>
      <w:r>
        <w:rPr>
          <w:rFonts w:hint="eastAsia" w:ascii="方正楷体_GBK" w:eastAsia="方正楷体_GBK"/>
          <w:b w:val="0"/>
          <w:bCs w:val="0"/>
        </w:rPr>
        <w:t>（三）主导产业发展现状</w:t>
      </w:r>
      <w:bookmarkEnd w:id="5"/>
    </w:p>
    <w:p>
      <w:pPr>
        <w:spacing w:line="600" w:lineRule="exact"/>
        <w:ind w:firstLine="640" w:firstLineChars="200"/>
        <w:rPr>
          <w:rFonts w:ascii="Times New Roman" w:hAnsi="Times New Roman" w:eastAsia="方正仿宋_GBK" w:cs="Times New Roman"/>
          <w:sz w:val="32"/>
          <w:szCs w:val="32"/>
        </w:rPr>
      </w:pPr>
      <w:r>
        <w:rPr>
          <w:rFonts w:hint="eastAsia" w:ascii="方正楷体_GBK" w:hAnsi="Times New Roman" w:eastAsia="方正楷体_GBK" w:cs="Times New Roman"/>
          <w:sz w:val="32"/>
          <w:szCs w:val="32"/>
        </w:rPr>
        <w:t>健康养老。</w:t>
      </w:r>
      <w:r>
        <w:rPr>
          <w:rFonts w:hint="eastAsia" w:ascii="Times New Roman" w:hAnsi="Times New Roman" w:eastAsia="方正仿宋_GBK" w:cs="Times New Roman"/>
          <w:color w:val="FF0000"/>
          <w:sz w:val="32"/>
          <w:szCs w:val="32"/>
          <w:highlight w:val="yellow"/>
          <w:lang w:val="en-US" w:eastAsia="zh-CN"/>
        </w:rPr>
        <w:t>景区</w:t>
      </w:r>
      <w:r>
        <w:rPr>
          <w:rFonts w:hint="eastAsia" w:ascii="Times New Roman" w:hAnsi="Times New Roman" w:eastAsia="方正仿宋_GBK" w:cs="Times New Roman"/>
          <w:color w:val="FF0000"/>
          <w:sz w:val="32"/>
          <w:szCs w:val="32"/>
          <w:highlight w:val="yellow"/>
        </w:rPr>
        <w:t>2020年获评全国森林康养基地试点建设单位，</w:t>
      </w:r>
      <w:r>
        <w:rPr>
          <w:rFonts w:hint="eastAsia" w:ascii="Times New Roman" w:hAnsi="Times New Roman" w:eastAsia="方正仿宋_GBK" w:cs="Times New Roman"/>
          <w:color w:val="FF0000"/>
          <w:sz w:val="32"/>
          <w:szCs w:val="32"/>
          <w:highlight w:val="yellow"/>
          <w:lang w:val="en-US" w:eastAsia="zh-CN"/>
        </w:rPr>
        <w:t>以</w:t>
      </w:r>
      <w:r>
        <w:rPr>
          <w:rFonts w:hint="eastAsia" w:ascii="Times New Roman" w:hAnsi="Times New Roman" w:eastAsia="方正仿宋_GBK" w:cs="Times New Roman"/>
          <w:color w:val="FF0000"/>
          <w:sz w:val="32"/>
          <w:szCs w:val="32"/>
          <w:highlight w:val="yellow"/>
        </w:rPr>
        <w:t>打造康养样本示范点，大力发展“养、游、健、学”</w:t>
      </w:r>
      <w:r>
        <w:rPr>
          <w:rFonts w:hint="eastAsia" w:ascii="Times New Roman" w:hAnsi="Times New Roman" w:eastAsia="方正仿宋_GBK" w:cs="Times New Roman"/>
          <w:color w:val="FF0000"/>
          <w:sz w:val="32"/>
          <w:szCs w:val="32"/>
          <w:highlight w:val="yellow"/>
          <w:lang w:val="en-US" w:eastAsia="zh-CN"/>
        </w:rPr>
        <w:t>四</w:t>
      </w:r>
      <w:r>
        <w:rPr>
          <w:rFonts w:hint="eastAsia" w:ascii="Times New Roman" w:hAnsi="Times New Roman" w:eastAsia="方正仿宋_GBK" w:cs="Times New Roman"/>
          <w:color w:val="FF0000"/>
          <w:sz w:val="32"/>
          <w:szCs w:val="32"/>
          <w:highlight w:val="yellow"/>
        </w:rPr>
        <w:t>个业态。“养”，利用全面建成</w:t>
      </w:r>
      <w:r>
        <w:rPr>
          <w:rFonts w:hint="eastAsia" w:ascii="Times New Roman" w:hAnsi="Times New Roman" w:eastAsia="方正仿宋_GBK" w:cs="Times New Roman"/>
          <w:color w:val="FF0000"/>
          <w:sz w:val="32"/>
          <w:szCs w:val="32"/>
          <w:highlight w:val="yellow"/>
          <w:lang w:val="en-US" w:eastAsia="zh-CN"/>
        </w:rPr>
        <w:t>的</w:t>
      </w:r>
      <w:r>
        <w:rPr>
          <w:rFonts w:hint="eastAsia" w:ascii="Times New Roman" w:hAnsi="Times New Roman" w:eastAsia="方正仿宋_GBK" w:cs="Times New Roman"/>
          <w:color w:val="FF0000"/>
          <w:sz w:val="32"/>
          <w:szCs w:val="32"/>
          <w:highlight w:val="yellow"/>
        </w:rPr>
        <w:t>息心寺</w:t>
      </w:r>
      <w:r>
        <w:rPr>
          <w:rFonts w:hint="eastAsia" w:ascii="Times New Roman" w:hAnsi="Times New Roman" w:eastAsia="方正仿宋_GBK" w:cs="Times New Roman"/>
          <w:color w:val="FF0000"/>
          <w:sz w:val="32"/>
          <w:szCs w:val="32"/>
          <w:highlight w:val="yellow"/>
          <w:lang w:eastAsia="zh-CN"/>
        </w:rPr>
        <w:t>、</w:t>
      </w:r>
      <w:r>
        <w:rPr>
          <w:rFonts w:hint="eastAsia" w:ascii="Times New Roman" w:hAnsi="Times New Roman" w:eastAsia="方正仿宋_GBK" w:cs="Times New Roman"/>
          <w:color w:val="FF0000"/>
          <w:sz w:val="32"/>
          <w:szCs w:val="32"/>
          <w:highlight w:val="yellow"/>
          <w:lang w:val="en-US" w:eastAsia="zh-CN"/>
        </w:rPr>
        <w:t>高尔夫球场</w:t>
      </w:r>
      <w:r>
        <w:rPr>
          <w:rFonts w:hint="eastAsia" w:ascii="Times New Roman" w:hAnsi="Times New Roman" w:eastAsia="方正仿宋_GBK" w:cs="Times New Roman"/>
          <w:color w:val="FF0000"/>
          <w:sz w:val="32"/>
          <w:szCs w:val="32"/>
          <w:highlight w:val="yellow"/>
        </w:rPr>
        <w:t>导入禅意康养，吸引高消费群体入驻。“游”，</w:t>
      </w:r>
      <w:r>
        <w:rPr>
          <w:rFonts w:hint="eastAsia" w:ascii="Times New Roman" w:hAnsi="Times New Roman" w:eastAsia="方正仿宋_GBK" w:cs="Times New Roman"/>
          <w:color w:val="FF0000"/>
          <w:sz w:val="32"/>
          <w:szCs w:val="32"/>
          <w:highlight w:val="yellow"/>
          <w:lang w:val="en-US" w:eastAsia="zh-CN"/>
        </w:rPr>
        <w:t>滨水</w:t>
      </w:r>
      <w:r>
        <w:rPr>
          <w:rFonts w:hint="eastAsia" w:ascii="Times New Roman" w:hAnsi="Times New Roman" w:eastAsia="方正仿宋_GBK" w:cs="Times New Roman"/>
          <w:color w:val="FF0000"/>
          <w:sz w:val="32"/>
          <w:szCs w:val="32"/>
          <w:highlight w:val="yellow"/>
        </w:rPr>
        <w:t>商业街引入业态</w:t>
      </w:r>
      <w:r>
        <w:rPr>
          <w:rFonts w:hint="eastAsia" w:ascii="Times New Roman" w:hAnsi="Times New Roman" w:eastAsia="方正仿宋_GBK" w:cs="Times New Roman"/>
          <w:color w:val="FF0000"/>
          <w:sz w:val="32"/>
          <w:szCs w:val="32"/>
          <w:highlight w:val="yellow"/>
          <w:lang w:val="en-US" w:eastAsia="zh-CN"/>
        </w:rPr>
        <w:t>资源丰富</w:t>
      </w:r>
      <w:r>
        <w:rPr>
          <w:rFonts w:hint="eastAsia" w:ascii="Times New Roman" w:hAnsi="Times New Roman" w:eastAsia="方正仿宋_GBK" w:cs="Times New Roman"/>
          <w:color w:val="FF0000"/>
          <w:sz w:val="32"/>
          <w:szCs w:val="32"/>
          <w:highlight w:val="yellow"/>
        </w:rPr>
        <w:t>，</w:t>
      </w:r>
      <w:r>
        <w:rPr>
          <w:rFonts w:hint="eastAsia" w:ascii="Times New Roman" w:hAnsi="Times New Roman" w:eastAsia="方正仿宋_GBK" w:cs="Times New Roman"/>
          <w:color w:val="FF0000"/>
          <w:sz w:val="32"/>
          <w:szCs w:val="32"/>
          <w:highlight w:val="yellow"/>
          <w:lang w:eastAsia="zh-CN"/>
        </w:rPr>
        <w:t>“</w:t>
      </w:r>
      <w:r>
        <w:rPr>
          <w:rFonts w:hint="eastAsia" w:ascii="Times New Roman" w:hAnsi="Times New Roman" w:eastAsia="方正仿宋_GBK" w:cs="Times New Roman"/>
          <w:color w:val="FF0000"/>
          <w:sz w:val="32"/>
          <w:szCs w:val="32"/>
          <w:highlight w:val="yellow"/>
          <w:lang w:val="en-US" w:eastAsia="zh-CN"/>
        </w:rPr>
        <w:t>吃喝玩乐”样样齐全，同时打卡景点多样，是</w:t>
      </w:r>
      <w:r>
        <w:rPr>
          <w:rFonts w:hint="eastAsia" w:ascii="Times New Roman" w:hAnsi="Times New Roman" w:eastAsia="方正仿宋_GBK" w:cs="Times New Roman"/>
          <w:color w:val="FF0000"/>
          <w:sz w:val="32"/>
          <w:szCs w:val="32"/>
          <w:highlight w:val="yellow"/>
        </w:rPr>
        <w:t>摄影</w:t>
      </w:r>
      <w:r>
        <w:rPr>
          <w:rFonts w:hint="eastAsia" w:ascii="Times New Roman" w:hAnsi="Times New Roman" w:eastAsia="方正仿宋_GBK" w:cs="Times New Roman"/>
          <w:color w:val="FF0000"/>
          <w:sz w:val="32"/>
          <w:szCs w:val="32"/>
          <w:highlight w:val="yellow"/>
          <w:lang w:val="en-US" w:eastAsia="zh-CN"/>
        </w:rPr>
        <w:t>爱好者</w:t>
      </w:r>
      <w:r>
        <w:rPr>
          <w:rFonts w:hint="eastAsia" w:ascii="Times New Roman" w:hAnsi="Times New Roman" w:eastAsia="方正仿宋_GBK" w:cs="Times New Roman"/>
          <w:color w:val="FF0000"/>
          <w:sz w:val="32"/>
          <w:szCs w:val="32"/>
          <w:highlight w:val="yellow"/>
        </w:rPr>
        <w:t>的特色街区；“健”，依托2</w:t>
      </w:r>
      <w:r>
        <w:rPr>
          <w:rFonts w:hint="eastAsia" w:ascii="Times New Roman" w:hAnsi="Times New Roman" w:eastAsia="方正仿宋_GBK" w:cs="Times New Roman"/>
          <w:color w:val="FF0000"/>
          <w:sz w:val="32"/>
          <w:szCs w:val="32"/>
          <w:highlight w:val="yellow"/>
          <w:lang w:val="en-US" w:eastAsia="zh-CN"/>
        </w:rPr>
        <w:t>1</w:t>
      </w:r>
      <w:r>
        <w:rPr>
          <w:rFonts w:hint="eastAsia" w:ascii="Times New Roman" w:hAnsi="Times New Roman" w:eastAsia="方正仿宋_GBK" w:cs="Times New Roman"/>
          <w:color w:val="FF0000"/>
          <w:sz w:val="32"/>
          <w:szCs w:val="32"/>
          <w:highlight w:val="yellow"/>
        </w:rPr>
        <w:t>公里的健身步道，围绕运动健身、心脑健康，定期开展</w:t>
      </w:r>
      <w:r>
        <w:rPr>
          <w:rFonts w:hint="eastAsia" w:ascii="Times New Roman" w:hAnsi="Times New Roman" w:eastAsia="方正仿宋_GBK" w:cs="Times New Roman"/>
          <w:color w:val="FF0000"/>
          <w:sz w:val="32"/>
          <w:szCs w:val="32"/>
          <w:highlight w:val="yellow"/>
          <w:lang w:val="en-US" w:eastAsia="zh-CN"/>
        </w:rPr>
        <w:t>长跑、骑行等</w:t>
      </w:r>
      <w:r>
        <w:rPr>
          <w:rFonts w:hint="eastAsia" w:ascii="Times New Roman" w:hAnsi="Times New Roman" w:eastAsia="方正仿宋_GBK" w:cs="Times New Roman"/>
          <w:color w:val="FF0000"/>
          <w:sz w:val="32"/>
          <w:szCs w:val="32"/>
          <w:highlight w:val="yellow"/>
        </w:rPr>
        <w:t>重大活动和特色运动项目；“学”，结合研学和旅游新业态，重点关注</w:t>
      </w:r>
      <w:r>
        <w:rPr>
          <w:rFonts w:hint="eastAsia" w:ascii="Times New Roman" w:hAnsi="Times New Roman" w:eastAsia="方正仿宋_GBK" w:cs="Times New Roman"/>
          <w:color w:val="FF0000"/>
          <w:sz w:val="32"/>
          <w:szCs w:val="32"/>
          <w:highlight w:val="yellow"/>
          <w:lang w:val="en-US" w:eastAsia="zh-CN"/>
        </w:rPr>
        <w:t>中小</w:t>
      </w:r>
      <w:r>
        <w:rPr>
          <w:rFonts w:hint="eastAsia" w:ascii="Times New Roman" w:hAnsi="Times New Roman" w:eastAsia="方正仿宋_GBK" w:cs="Times New Roman"/>
          <w:color w:val="FF0000"/>
          <w:sz w:val="32"/>
          <w:szCs w:val="32"/>
          <w:highlight w:val="yellow"/>
        </w:rPr>
        <w:t>学生、老年人的游学研学等服务。</w:t>
      </w:r>
    </w:p>
    <w:p>
      <w:pPr>
        <w:spacing w:line="600" w:lineRule="exact"/>
        <w:ind w:firstLine="640" w:firstLineChars="200"/>
        <w:rPr>
          <w:rFonts w:hint="eastAsia" w:ascii="Times New Roman" w:hAnsi="Times New Roman" w:eastAsia="方正仿宋_GBK" w:cs="Times New Roman"/>
          <w:color w:val="FF0000"/>
          <w:sz w:val="32"/>
          <w:szCs w:val="32"/>
          <w:highlight w:val="yellow"/>
        </w:rPr>
      </w:pPr>
      <w:r>
        <w:rPr>
          <w:rFonts w:hint="eastAsia" w:ascii="方正楷体_GBK" w:hAnsi="Times New Roman" w:eastAsia="方正楷体_GBK" w:cs="Times New Roman"/>
          <w:sz w:val="32"/>
          <w:szCs w:val="32"/>
        </w:rPr>
        <w:t>生态旅游。</w:t>
      </w:r>
      <w:r>
        <w:rPr>
          <w:rFonts w:hint="eastAsia" w:ascii="Times New Roman" w:hAnsi="Times New Roman" w:eastAsia="方正仿宋_GBK" w:cs="Times New Roman"/>
          <w:color w:val="FF0000"/>
          <w:sz w:val="32"/>
          <w:szCs w:val="32"/>
          <w:highlight w:val="yellow"/>
          <w:lang w:val="en-US" w:eastAsia="zh-CN"/>
        </w:rPr>
        <w:t>景</w:t>
      </w:r>
      <w:r>
        <w:rPr>
          <w:rFonts w:hint="eastAsia" w:ascii="Times New Roman" w:hAnsi="Times New Roman" w:eastAsia="方正仿宋_GBK" w:cs="Times New Roman"/>
          <w:color w:val="FF0000"/>
          <w:sz w:val="32"/>
          <w:szCs w:val="32"/>
          <w:highlight w:val="yellow"/>
        </w:rPr>
        <w:t>区以“海风河韵、水绿生态”为主题，全面打造国家级生态旅游示范区和国家级旅游度假区。2022年</w:t>
      </w:r>
      <w:r>
        <w:rPr>
          <w:rFonts w:hint="eastAsia" w:ascii="Times New Roman" w:hAnsi="Times New Roman" w:eastAsia="方正仿宋_GBK" w:cs="Times New Roman"/>
          <w:color w:val="FF0000"/>
          <w:sz w:val="32"/>
          <w:szCs w:val="32"/>
          <w:highlight w:val="yellow"/>
          <w:lang w:val="en-US" w:eastAsia="zh-CN"/>
        </w:rPr>
        <w:t>荣获</w:t>
      </w:r>
      <w:r>
        <w:rPr>
          <w:rFonts w:hint="eastAsia" w:ascii="Times New Roman" w:hAnsi="Times New Roman" w:eastAsia="方正仿宋_GBK" w:cs="Times New Roman"/>
          <w:color w:val="FF0000"/>
          <w:sz w:val="32"/>
          <w:szCs w:val="32"/>
          <w:highlight w:val="yellow"/>
        </w:rPr>
        <w:t>省级水利风景区。射阳文旅集团不仅追求合理合法的经济利益，更是时刻把企业的社会责任记在心间，扛在肩上。日月岛风景区在兴建之初就将承办相关体育赛事、贡献全民健身活动、推动射阳体育事业质量发展作为重要发展事项纳入景区建设规划。目前，景区已建成2</w:t>
      </w:r>
      <w:r>
        <w:rPr>
          <w:rFonts w:hint="eastAsia" w:ascii="Times New Roman" w:hAnsi="Times New Roman" w:eastAsia="方正仿宋_GBK" w:cs="Times New Roman"/>
          <w:color w:val="FF0000"/>
          <w:sz w:val="32"/>
          <w:szCs w:val="32"/>
          <w:highlight w:val="yellow"/>
          <w:lang w:val="en-US" w:eastAsia="zh-CN"/>
        </w:rPr>
        <w:t>1</w:t>
      </w:r>
      <w:r>
        <w:rPr>
          <w:rFonts w:hint="eastAsia" w:ascii="Times New Roman" w:hAnsi="Times New Roman" w:eastAsia="方正仿宋_GBK" w:cs="Times New Roman"/>
          <w:color w:val="FF0000"/>
          <w:sz w:val="32"/>
          <w:szCs w:val="32"/>
          <w:highlight w:val="yellow"/>
        </w:rPr>
        <w:t>公里的健身步道，可常年组织开展健身跑、绿色骑行、广场舞、瑜伽、</w:t>
      </w:r>
      <w:r>
        <w:rPr>
          <w:rFonts w:hint="eastAsia" w:ascii="Times New Roman" w:hAnsi="Times New Roman" w:eastAsia="方正仿宋_GBK" w:cs="Times New Roman"/>
          <w:color w:val="FF0000"/>
          <w:sz w:val="32"/>
          <w:szCs w:val="32"/>
          <w:highlight w:val="yellow"/>
          <w:lang w:val="en-US" w:eastAsia="zh-CN"/>
        </w:rPr>
        <w:t>健身气功、</w:t>
      </w:r>
      <w:r>
        <w:rPr>
          <w:rFonts w:hint="eastAsia" w:ascii="Times New Roman" w:hAnsi="Times New Roman" w:eastAsia="方正仿宋_GBK" w:cs="Times New Roman"/>
          <w:color w:val="FF0000"/>
          <w:sz w:val="32"/>
          <w:szCs w:val="32"/>
          <w:highlight w:val="yellow"/>
        </w:rPr>
        <w:t>太极拳</w:t>
      </w:r>
      <w:r>
        <w:rPr>
          <w:rFonts w:hint="eastAsia" w:ascii="Times New Roman" w:hAnsi="Times New Roman" w:eastAsia="方正仿宋_GBK" w:cs="Times New Roman"/>
          <w:color w:val="FF0000"/>
          <w:sz w:val="32"/>
          <w:szCs w:val="32"/>
          <w:highlight w:val="yellow"/>
          <w:lang w:eastAsia="zh-CN"/>
        </w:rPr>
        <w:t>、</w:t>
      </w:r>
      <w:r>
        <w:rPr>
          <w:rFonts w:hint="eastAsia" w:ascii="Times New Roman" w:hAnsi="Times New Roman" w:eastAsia="方正仿宋_GBK" w:cs="Times New Roman"/>
          <w:color w:val="FF0000"/>
          <w:sz w:val="32"/>
          <w:szCs w:val="32"/>
          <w:highlight w:val="yellow"/>
          <w:lang w:val="en-US" w:eastAsia="zh-CN"/>
        </w:rPr>
        <w:t>球类、棋类、钓鱼、航空航模</w:t>
      </w:r>
      <w:r>
        <w:rPr>
          <w:rFonts w:hint="eastAsia" w:ascii="Times New Roman" w:hAnsi="Times New Roman" w:eastAsia="方正仿宋_GBK" w:cs="Times New Roman"/>
          <w:color w:val="FF0000"/>
          <w:sz w:val="32"/>
          <w:szCs w:val="32"/>
          <w:highlight w:val="yellow"/>
        </w:rPr>
        <w:t>等体育活动</w:t>
      </w:r>
      <w:r>
        <w:rPr>
          <w:rFonts w:hint="eastAsia" w:ascii="Times New Roman" w:hAnsi="Times New Roman" w:eastAsia="方正仿宋_GBK" w:cs="Times New Roman"/>
          <w:color w:val="FF0000"/>
          <w:sz w:val="32"/>
          <w:szCs w:val="32"/>
          <w:highlight w:val="yellow"/>
          <w:lang w:eastAsia="zh-CN"/>
        </w:rPr>
        <w:t>，</w:t>
      </w:r>
      <w:r>
        <w:rPr>
          <w:rFonts w:hint="eastAsia" w:ascii="Times New Roman" w:hAnsi="Times New Roman" w:eastAsia="方正仿宋_GBK" w:cs="Times New Roman"/>
          <w:color w:val="FF0000"/>
          <w:sz w:val="32"/>
          <w:szCs w:val="32"/>
          <w:highlight w:val="yellow"/>
        </w:rPr>
        <w:t>每天约有</w:t>
      </w:r>
      <w:r>
        <w:rPr>
          <w:rFonts w:hint="eastAsia" w:ascii="Times New Roman" w:hAnsi="Times New Roman" w:eastAsia="方正仿宋_GBK" w:cs="Times New Roman"/>
          <w:color w:val="FF0000"/>
          <w:sz w:val="32"/>
          <w:szCs w:val="32"/>
          <w:highlight w:val="yellow"/>
          <w:lang w:val="en-US" w:eastAsia="zh-CN"/>
        </w:rPr>
        <w:t>5</w:t>
      </w:r>
      <w:r>
        <w:rPr>
          <w:rFonts w:hint="eastAsia" w:ascii="Times New Roman" w:hAnsi="Times New Roman" w:eastAsia="方正仿宋_GBK" w:cs="Times New Roman"/>
          <w:color w:val="FF0000"/>
          <w:sz w:val="32"/>
          <w:szCs w:val="32"/>
          <w:highlight w:val="yellow"/>
        </w:rPr>
        <w:t>000人</w:t>
      </w:r>
      <w:r>
        <w:rPr>
          <w:rFonts w:hint="eastAsia" w:ascii="Times New Roman" w:hAnsi="Times New Roman" w:eastAsia="方正仿宋_GBK" w:cs="Times New Roman"/>
          <w:color w:val="FF0000"/>
          <w:sz w:val="32"/>
          <w:szCs w:val="32"/>
          <w:highlight w:val="yellow"/>
          <w:lang w:val="en-US" w:eastAsia="zh-CN"/>
        </w:rPr>
        <w:t>参与</w:t>
      </w:r>
      <w:r>
        <w:rPr>
          <w:rFonts w:hint="eastAsia" w:ascii="Times New Roman" w:hAnsi="Times New Roman" w:eastAsia="方正仿宋_GBK" w:cs="Times New Roman"/>
          <w:color w:val="FF0000"/>
          <w:sz w:val="32"/>
          <w:szCs w:val="32"/>
          <w:highlight w:val="yellow"/>
        </w:rPr>
        <w:t>健身观光旅游。此外，</w:t>
      </w:r>
      <w:r>
        <w:rPr>
          <w:rFonts w:hint="eastAsia" w:ascii="Times New Roman" w:hAnsi="Times New Roman" w:eastAsia="方正仿宋_GBK" w:cs="Times New Roman"/>
          <w:color w:val="FF0000"/>
          <w:sz w:val="32"/>
          <w:szCs w:val="32"/>
          <w:highlight w:val="yellow"/>
          <w:lang w:val="en-US" w:eastAsia="zh-CN"/>
        </w:rPr>
        <w:t>日月岛</w:t>
      </w:r>
      <w:r>
        <w:rPr>
          <w:rFonts w:hint="eastAsia" w:ascii="Times New Roman" w:hAnsi="Times New Roman" w:eastAsia="方正仿宋_GBK" w:cs="Times New Roman"/>
          <w:color w:val="FF0000"/>
          <w:sz w:val="32"/>
          <w:szCs w:val="32"/>
          <w:highlight w:val="yellow"/>
        </w:rPr>
        <w:t>建成</w:t>
      </w:r>
      <w:r>
        <w:rPr>
          <w:rFonts w:hint="eastAsia" w:ascii="Times New Roman" w:hAnsi="Times New Roman" w:eastAsia="方正仿宋_GBK" w:cs="Times New Roman"/>
          <w:color w:val="FF0000"/>
          <w:sz w:val="32"/>
          <w:szCs w:val="32"/>
          <w:highlight w:val="yellow"/>
          <w:lang w:val="en-US" w:eastAsia="zh-CN"/>
        </w:rPr>
        <w:t>2</w:t>
      </w:r>
      <w:r>
        <w:rPr>
          <w:rFonts w:hint="eastAsia" w:ascii="Times New Roman" w:hAnsi="Times New Roman" w:eastAsia="方正仿宋_GBK" w:cs="Times New Roman"/>
          <w:color w:val="FF0000"/>
          <w:sz w:val="32"/>
          <w:szCs w:val="32"/>
          <w:highlight w:val="yellow"/>
        </w:rPr>
        <w:t>片11人制足球场，城市森林公园建成1片11人制足球场、1片7人制足球场及1片5人制足球场</w:t>
      </w:r>
      <w:r>
        <w:rPr>
          <w:rFonts w:hint="eastAsia" w:ascii="Times New Roman" w:hAnsi="Times New Roman" w:eastAsia="方正仿宋_GBK" w:cs="Times New Roman"/>
          <w:color w:val="FF0000"/>
          <w:sz w:val="32"/>
          <w:szCs w:val="32"/>
          <w:highlight w:val="yellow"/>
          <w:lang w:eastAsia="zh-CN"/>
        </w:rPr>
        <w:t>，</w:t>
      </w:r>
      <w:r>
        <w:rPr>
          <w:rFonts w:hint="eastAsia" w:ascii="Times New Roman" w:hAnsi="Times New Roman" w:eastAsia="方正仿宋_GBK" w:cs="Times New Roman"/>
          <w:color w:val="FF0000"/>
          <w:sz w:val="32"/>
          <w:szCs w:val="32"/>
          <w:highlight w:val="yellow"/>
          <w:lang w:val="en-US" w:eastAsia="zh-CN"/>
        </w:rPr>
        <w:t>滨河公园建成5.5公里健身步道及1500平方米健身广场</w:t>
      </w:r>
      <w:r>
        <w:rPr>
          <w:rFonts w:hint="eastAsia" w:ascii="Times New Roman" w:hAnsi="Times New Roman" w:eastAsia="方正仿宋_GBK" w:cs="Times New Roman"/>
          <w:color w:val="FF0000"/>
          <w:sz w:val="32"/>
          <w:szCs w:val="32"/>
          <w:highlight w:val="yellow"/>
        </w:rPr>
        <w:t>，并全部对社会外开放，积极开展培训，</w:t>
      </w:r>
      <w:r>
        <w:rPr>
          <w:rFonts w:hint="eastAsia" w:ascii="Times New Roman" w:hAnsi="Times New Roman" w:eastAsia="方正仿宋_GBK" w:cs="Times New Roman"/>
          <w:color w:val="FF0000"/>
          <w:sz w:val="32"/>
          <w:szCs w:val="32"/>
          <w:highlight w:val="yellow"/>
          <w:lang w:val="en-US" w:eastAsia="zh-CN"/>
        </w:rPr>
        <w:t>常年</w:t>
      </w:r>
      <w:r>
        <w:rPr>
          <w:rFonts w:hint="eastAsia" w:ascii="Times New Roman" w:hAnsi="Times New Roman" w:eastAsia="方正仿宋_GBK" w:cs="Times New Roman"/>
          <w:color w:val="FF0000"/>
          <w:sz w:val="32"/>
          <w:szCs w:val="32"/>
          <w:highlight w:val="yellow"/>
        </w:rPr>
        <w:t>组织系列赛事活动。</w:t>
      </w:r>
    </w:p>
    <w:p>
      <w:pPr>
        <w:pStyle w:val="3"/>
        <w:jc w:val="center"/>
        <w:rPr>
          <w:rFonts w:ascii="方正楷体_GBK" w:eastAsia="方正楷体_GBK"/>
          <w:b w:val="0"/>
          <w:bCs w:val="0"/>
        </w:rPr>
      </w:pPr>
      <w:bookmarkStart w:id="6" w:name="_Toc139881519"/>
      <w:r>
        <w:rPr>
          <w:rFonts w:hint="eastAsia" w:ascii="方正楷体_GBK" w:eastAsia="方正楷体_GBK"/>
          <w:b w:val="0"/>
          <w:bCs w:val="0"/>
        </w:rPr>
        <w:t>第二节 能源消费现状</w:t>
      </w:r>
      <w:bookmarkEnd w:id="6"/>
    </w:p>
    <w:p>
      <w:pPr>
        <w:pStyle w:val="4"/>
        <w:spacing w:before="0" w:after="0" w:line="415" w:lineRule="auto"/>
        <w:ind w:firstLine="640" w:firstLineChars="200"/>
        <w:rPr>
          <w:rFonts w:ascii="方正楷体_GBK" w:eastAsia="方正楷体_GBK"/>
          <w:b w:val="0"/>
          <w:bCs w:val="0"/>
        </w:rPr>
      </w:pPr>
      <w:bookmarkStart w:id="7" w:name="_Toc139881520"/>
      <w:r>
        <w:rPr>
          <w:rFonts w:hint="eastAsia" w:ascii="方正楷体_GBK" w:eastAsia="方正楷体_GBK"/>
          <w:b w:val="0"/>
          <w:bCs w:val="0"/>
        </w:rPr>
        <w:t>（一）能耗</w:t>
      </w:r>
      <w:r>
        <w:rPr>
          <w:rFonts w:ascii="方正楷体_GBK" w:eastAsia="方正楷体_GBK"/>
          <w:b w:val="0"/>
          <w:bCs w:val="0"/>
        </w:rPr>
        <w:t>总量</w:t>
      </w:r>
      <w:r>
        <w:rPr>
          <w:rFonts w:hint="eastAsia" w:ascii="方正楷体_GBK" w:eastAsia="方正楷体_GBK"/>
          <w:b w:val="0"/>
          <w:bCs w:val="0"/>
        </w:rPr>
        <w:t>及构成</w:t>
      </w:r>
      <w:bookmarkEnd w:id="7"/>
    </w:p>
    <w:p>
      <w:pPr>
        <w:spacing w:line="600" w:lineRule="exact"/>
        <w:ind w:firstLine="640" w:firstLineChars="200"/>
        <w:rPr>
          <w:rFonts w:ascii="Times New Roman" w:hAnsi="Times New Roman" w:eastAsia="黑体" w:cs="Times New Roman"/>
          <w:sz w:val="28"/>
          <w:szCs w:val="28"/>
        </w:rPr>
      </w:pPr>
      <w:r>
        <w:rPr>
          <w:rFonts w:hint="eastAsia" w:ascii="Times New Roman" w:hAnsi="Times New Roman" w:eastAsia="方正仿宋_GBK" w:cs="Times New Roman"/>
          <w:color w:val="000000"/>
          <w:sz w:val="32"/>
          <w:szCs w:val="32"/>
        </w:rPr>
        <w:t>沿海经济区城镇居民生活主要消耗电力、天然气等能源；交通出行主要消耗汽油；产业发展中，农业发展主要消耗电力、柴油等能源，工业发展主要消耗电力、天然气、蒸汽（生物质燃料锅炉生产）等能源，服务业发展主要消耗电力、天然气等能源。</w:t>
      </w:r>
      <w:r>
        <w:rPr>
          <w:rFonts w:ascii="Times New Roman" w:hAnsi="Times New Roman" w:eastAsia="方正仿宋_GBK" w:cs="Times New Roman"/>
          <w:color w:val="000000"/>
          <w:sz w:val="32"/>
          <w:szCs w:val="32"/>
        </w:rPr>
        <w:t>各能源品种</w:t>
      </w:r>
      <w:r>
        <w:rPr>
          <w:rFonts w:hint="eastAsia" w:ascii="Times New Roman" w:hAnsi="Times New Roman" w:eastAsia="方正仿宋_GBK" w:cs="Times New Roman"/>
          <w:color w:val="000000"/>
          <w:sz w:val="32"/>
          <w:szCs w:val="32"/>
        </w:rPr>
        <w:t>与标准煤转换系数见表</w:t>
      </w:r>
      <w:r>
        <w:rPr>
          <w:rFonts w:ascii="Times New Roman" w:hAnsi="Times New Roman" w:eastAsia="方正仿宋_GBK" w:cs="Times New Roman"/>
          <w:color w:val="000000"/>
          <w:sz w:val="32"/>
          <w:szCs w:val="32"/>
        </w:rPr>
        <w:t>1-1</w:t>
      </w:r>
      <w:r>
        <w:rPr>
          <w:rFonts w:hint="eastAsia" w:ascii="Times New Roman" w:hAnsi="Times New Roman" w:eastAsia="方正仿宋_GBK" w:cs="Times New Roman"/>
          <w:color w:val="000000"/>
          <w:sz w:val="32"/>
          <w:szCs w:val="32"/>
        </w:rPr>
        <w:t>。</w:t>
      </w:r>
    </w:p>
    <w:p>
      <w:pPr>
        <w:spacing w:line="360" w:lineRule="auto"/>
        <w:jc w:val="center"/>
        <w:rPr>
          <w:rFonts w:ascii="Times New Roman" w:hAnsi="Times New Roman" w:eastAsia="黑体" w:cs="Times New Roman"/>
          <w:sz w:val="28"/>
          <w:szCs w:val="28"/>
        </w:rPr>
      </w:pPr>
      <w:r>
        <w:rPr>
          <w:rFonts w:ascii="Times New Roman" w:hAnsi="Times New Roman" w:eastAsia="黑体" w:cs="Times New Roman"/>
          <w:sz w:val="28"/>
          <w:szCs w:val="28"/>
        </w:rPr>
        <w:t xml:space="preserve">表1-1  </w:t>
      </w:r>
      <w:r>
        <w:rPr>
          <w:rFonts w:hint="eastAsia" w:ascii="Times New Roman" w:hAnsi="Times New Roman" w:eastAsia="黑体" w:cs="Times New Roman"/>
          <w:sz w:val="28"/>
          <w:szCs w:val="28"/>
        </w:rPr>
        <w:t>各</w:t>
      </w:r>
      <w:r>
        <w:rPr>
          <w:rFonts w:ascii="Times New Roman" w:hAnsi="Times New Roman" w:eastAsia="黑体" w:cs="Times New Roman"/>
          <w:sz w:val="28"/>
          <w:szCs w:val="28"/>
        </w:rPr>
        <w:t>能源品种</w:t>
      </w:r>
      <w:r>
        <w:rPr>
          <w:rFonts w:hint="eastAsia" w:ascii="Times New Roman" w:hAnsi="Times New Roman" w:eastAsia="黑体" w:cs="Times New Roman"/>
          <w:sz w:val="28"/>
          <w:szCs w:val="28"/>
        </w:rPr>
        <w:t>与标准煤转换系数</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2155"/>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27" w:type="dxa"/>
            <w:vAlign w:val="center"/>
          </w:tcPr>
          <w:p>
            <w:pPr>
              <w:adjustRightInd w:val="0"/>
              <w:snapToGrid w:val="0"/>
              <w:jc w:val="center"/>
              <w:rPr>
                <w:rFonts w:ascii="方正黑体_GBK" w:hAnsi="方正黑体_GBK" w:eastAsia="方正黑体_GBK" w:cs="方正黑体_GBK"/>
                <w:color w:val="000000"/>
                <w:kern w:val="0"/>
                <w:sz w:val="28"/>
                <w:szCs w:val="28"/>
              </w:rPr>
            </w:pPr>
            <w:r>
              <w:rPr>
                <w:rFonts w:hint="eastAsia" w:ascii="方正黑体_GBK" w:hAnsi="方正黑体_GBK" w:eastAsia="方正黑体_GBK" w:cs="方正黑体_GBK"/>
                <w:color w:val="000000"/>
                <w:kern w:val="0"/>
                <w:sz w:val="28"/>
                <w:szCs w:val="28"/>
              </w:rPr>
              <w:t>能源品种</w:t>
            </w:r>
          </w:p>
        </w:tc>
        <w:tc>
          <w:tcPr>
            <w:tcW w:w="2155" w:type="dxa"/>
            <w:vAlign w:val="center"/>
          </w:tcPr>
          <w:p>
            <w:pPr>
              <w:adjustRightInd w:val="0"/>
              <w:snapToGrid w:val="0"/>
              <w:jc w:val="center"/>
              <w:rPr>
                <w:rFonts w:ascii="方正黑体_GBK" w:hAnsi="方正黑体_GBK" w:eastAsia="方正黑体_GBK" w:cs="方正黑体_GBK"/>
                <w:color w:val="000000"/>
                <w:kern w:val="0"/>
                <w:sz w:val="28"/>
                <w:szCs w:val="28"/>
              </w:rPr>
            </w:pPr>
            <w:r>
              <w:rPr>
                <w:rFonts w:hint="eastAsia" w:ascii="方正黑体_GBK" w:hAnsi="方正黑体_GBK" w:eastAsia="方正黑体_GBK" w:cs="方正黑体_GBK"/>
                <w:color w:val="000000"/>
                <w:kern w:val="0"/>
                <w:sz w:val="28"/>
                <w:szCs w:val="28"/>
              </w:rPr>
              <w:t>排放因子</w:t>
            </w:r>
          </w:p>
        </w:tc>
        <w:tc>
          <w:tcPr>
            <w:tcW w:w="2914" w:type="dxa"/>
            <w:vAlign w:val="center"/>
          </w:tcPr>
          <w:p>
            <w:pPr>
              <w:adjustRightInd w:val="0"/>
              <w:snapToGrid w:val="0"/>
              <w:jc w:val="center"/>
              <w:rPr>
                <w:rFonts w:ascii="方正黑体_GBK" w:hAnsi="方正黑体_GBK" w:eastAsia="方正黑体_GBK" w:cs="方正黑体_GBK"/>
                <w:color w:val="000000"/>
                <w:kern w:val="0"/>
                <w:sz w:val="28"/>
                <w:szCs w:val="28"/>
              </w:rPr>
            </w:pPr>
            <w:r>
              <w:rPr>
                <w:rFonts w:hint="eastAsia" w:ascii="方正黑体_GBK" w:hAnsi="方正黑体_GBK" w:eastAsia="方正黑体_GBK" w:cs="方正黑体_GBK"/>
                <w:color w:val="000000"/>
                <w:kern w:val="0"/>
                <w:sz w:val="28"/>
                <w:szCs w:val="2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2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电力</w:t>
            </w:r>
          </w:p>
        </w:tc>
        <w:tc>
          <w:tcPr>
            <w:tcW w:w="215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0.1229</w:t>
            </w:r>
          </w:p>
        </w:tc>
        <w:tc>
          <w:tcPr>
            <w:tcW w:w="2914"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千克标准煤/千瓦时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2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天然气</w:t>
            </w:r>
          </w:p>
        </w:tc>
        <w:tc>
          <w:tcPr>
            <w:tcW w:w="215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1</w:t>
            </w:r>
            <w:r>
              <w:rPr>
                <w:rFonts w:ascii="Times New Roman" w:hAnsi="Times New Roman" w:eastAsia="方正仿宋_GBK" w:cs="Times New Roman"/>
                <w:color w:val="000000"/>
                <w:kern w:val="0"/>
                <w:sz w:val="28"/>
                <w:szCs w:val="28"/>
              </w:rPr>
              <w:t>.33</w:t>
            </w:r>
          </w:p>
        </w:tc>
        <w:tc>
          <w:tcPr>
            <w:tcW w:w="2914"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千克标准煤/立方米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2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生物质燃料</w:t>
            </w:r>
            <w:r>
              <w:rPr>
                <w:rFonts w:ascii="Times New Roman" w:hAnsi="Times New Roman" w:eastAsia="方正仿宋_GBK" w:cs="Times New Roman"/>
                <w:color w:val="000000"/>
                <w:kern w:val="0"/>
                <w:sz w:val="28"/>
                <w:szCs w:val="28"/>
              </w:rPr>
              <w:t>（</w:t>
            </w:r>
            <w:r>
              <w:rPr>
                <w:rFonts w:hint="eastAsia" w:ascii="Times New Roman" w:hAnsi="Times New Roman" w:eastAsia="方正仿宋_GBK" w:cs="Times New Roman"/>
                <w:color w:val="000000"/>
                <w:kern w:val="0"/>
                <w:sz w:val="28"/>
                <w:szCs w:val="28"/>
              </w:rPr>
              <w:t>稻壳为主</w:t>
            </w:r>
            <w:r>
              <w:rPr>
                <w:rFonts w:ascii="Times New Roman" w:hAnsi="Times New Roman" w:eastAsia="方正仿宋_GBK" w:cs="Times New Roman"/>
                <w:color w:val="000000"/>
                <w:kern w:val="0"/>
                <w:sz w:val="28"/>
                <w:szCs w:val="28"/>
              </w:rPr>
              <w:t>）</w:t>
            </w:r>
          </w:p>
        </w:tc>
        <w:tc>
          <w:tcPr>
            <w:tcW w:w="215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0</w:t>
            </w:r>
            <w:r>
              <w:rPr>
                <w:rFonts w:ascii="Times New Roman" w:hAnsi="Times New Roman" w:eastAsia="方正仿宋_GBK" w:cs="Times New Roman"/>
                <w:color w:val="000000"/>
                <w:kern w:val="0"/>
                <w:sz w:val="28"/>
                <w:szCs w:val="28"/>
              </w:rPr>
              <w:t>.4571</w:t>
            </w:r>
          </w:p>
        </w:tc>
        <w:tc>
          <w:tcPr>
            <w:tcW w:w="2914"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千克标准煤/千克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2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汽油</w:t>
            </w:r>
          </w:p>
        </w:tc>
        <w:tc>
          <w:tcPr>
            <w:tcW w:w="215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1</w:t>
            </w:r>
            <w:r>
              <w:rPr>
                <w:rFonts w:ascii="Times New Roman" w:hAnsi="Times New Roman" w:eastAsia="方正仿宋_GBK" w:cs="Times New Roman"/>
                <w:color w:val="000000"/>
                <w:kern w:val="0"/>
                <w:sz w:val="28"/>
                <w:szCs w:val="28"/>
              </w:rPr>
              <w:t>.4714</w:t>
            </w:r>
          </w:p>
        </w:tc>
        <w:tc>
          <w:tcPr>
            <w:tcW w:w="2914" w:type="dxa"/>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千克标准煤/千克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2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柴油</w:t>
            </w:r>
          </w:p>
        </w:tc>
        <w:tc>
          <w:tcPr>
            <w:tcW w:w="215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1</w:t>
            </w:r>
            <w:r>
              <w:rPr>
                <w:rFonts w:ascii="Times New Roman" w:hAnsi="Times New Roman" w:eastAsia="方正仿宋_GBK" w:cs="Times New Roman"/>
                <w:color w:val="000000"/>
                <w:kern w:val="0"/>
                <w:sz w:val="28"/>
                <w:szCs w:val="28"/>
              </w:rPr>
              <w:t>.4571</w:t>
            </w:r>
          </w:p>
        </w:tc>
        <w:tc>
          <w:tcPr>
            <w:tcW w:w="2914" w:type="dxa"/>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千克标准煤/千克</w:t>
            </w:r>
          </w:p>
        </w:tc>
      </w:tr>
    </w:tbl>
    <w:p>
      <w:pPr>
        <w:spacing w:line="59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经初步核算，</w:t>
      </w:r>
      <w:r>
        <w:rPr>
          <w:rFonts w:ascii="Times New Roman" w:hAnsi="Times New Roman" w:eastAsia="方正仿宋_GBK" w:cs="Times New Roman"/>
          <w:sz w:val="32"/>
        </w:rPr>
        <w:t>2022</w:t>
      </w:r>
      <w:r>
        <w:rPr>
          <w:rFonts w:hint="eastAsia" w:ascii="Times New Roman" w:hAnsi="Times New Roman" w:eastAsia="方正仿宋_GBK" w:cs="Times New Roman"/>
          <w:sz w:val="32"/>
        </w:rPr>
        <w:t>年沿海经济区能源消耗总量为74677.4吨标准煤。其中：电力消耗37664.7万kWh，折算成标准煤量为46289.9吨，占比61.99</w:t>
      </w:r>
      <w:r>
        <w:rPr>
          <w:rFonts w:ascii="Times New Roman" w:hAnsi="Times New Roman" w:eastAsia="方正仿宋_GBK" w:cs="Times New Roman"/>
          <w:sz w:val="32"/>
        </w:rPr>
        <w:t>%</w:t>
      </w:r>
      <w:r>
        <w:rPr>
          <w:rFonts w:hint="eastAsia" w:ascii="Times New Roman" w:hAnsi="Times New Roman" w:eastAsia="方正仿宋_GBK" w:cs="Times New Roman"/>
          <w:sz w:val="32"/>
        </w:rPr>
        <w:t>；生物质燃料消耗55981.2吨，折算成标准煤量为25589.0吨，占比34.26</w:t>
      </w:r>
      <w:r>
        <w:rPr>
          <w:rFonts w:ascii="Times New Roman" w:hAnsi="Times New Roman" w:eastAsia="方正仿宋_GBK" w:cs="Times New Roman"/>
          <w:sz w:val="32"/>
        </w:rPr>
        <w:t>%</w:t>
      </w:r>
      <w:r>
        <w:rPr>
          <w:rFonts w:hint="eastAsia" w:ascii="Times New Roman" w:hAnsi="Times New Roman" w:eastAsia="方正仿宋_GBK" w:cs="Times New Roman"/>
          <w:sz w:val="32"/>
        </w:rPr>
        <w:t>；天然气消耗134.7万立方米，折算成标准煤量为1791.0吨，占比2.40</w:t>
      </w:r>
      <w:r>
        <w:rPr>
          <w:rFonts w:ascii="Times New Roman" w:hAnsi="Times New Roman" w:eastAsia="方正仿宋_GBK" w:cs="Times New Roman"/>
          <w:sz w:val="32"/>
        </w:rPr>
        <w:t>%</w:t>
      </w:r>
      <w:r>
        <w:rPr>
          <w:rFonts w:hint="eastAsia" w:ascii="Times New Roman" w:hAnsi="Times New Roman" w:eastAsia="方正仿宋_GBK" w:cs="Times New Roman"/>
          <w:sz w:val="32"/>
        </w:rPr>
        <w:t>；汽油消耗598.5吨，折算成标准煤量为880.6吨，占比1.18</w:t>
      </w:r>
      <w:r>
        <w:rPr>
          <w:rFonts w:ascii="Times New Roman" w:hAnsi="Times New Roman" w:eastAsia="方正仿宋_GBK" w:cs="Times New Roman"/>
          <w:sz w:val="32"/>
        </w:rPr>
        <w:t>%</w:t>
      </w:r>
      <w:r>
        <w:rPr>
          <w:rFonts w:hint="eastAsia" w:ascii="Times New Roman" w:hAnsi="Times New Roman" w:eastAsia="方正仿宋_GBK" w:cs="Times New Roman"/>
          <w:sz w:val="32"/>
        </w:rPr>
        <w:t>；柴油消耗87.1吨，折算成标准煤量为126.9吨，占比0.17</w:t>
      </w:r>
      <w:r>
        <w:rPr>
          <w:rFonts w:ascii="Times New Roman" w:hAnsi="Times New Roman" w:eastAsia="方正仿宋_GBK" w:cs="Times New Roman"/>
          <w:sz w:val="32"/>
        </w:rPr>
        <w:t>%</w:t>
      </w:r>
      <w:r>
        <w:rPr>
          <w:rFonts w:hint="eastAsia" w:ascii="Times New Roman" w:hAnsi="Times New Roman" w:eastAsia="方正仿宋_GBK" w:cs="Times New Roman"/>
          <w:sz w:val="32"/>
        </w:rPr>
        <w:t>。</w:t>
      </w:r>
    </w:p>
    <w:p>
      <w:pPr>
        <w:spacing w:line="360" w:lineRule="auto"/>
        <w:jc w:val="center"/>
        <w:rPr>
          <w:rFonts w:ascii="Times New Roman" w:hAnsi="Times New Roman" w:eastAsia="方正仿宋_GBK" w:cs="Times New Roman"/>
          <w:sz w:val="32"/>
          <w:szCs w:val="32"/>
          <w:highlight w:val="yellow"/>
        </w:rPr>
      </w:pPr>
      <w:r>
        <w:rPr>
          <w:rFonts w:ascii="Times New Roman" w:hAnsi="Times New Roman" w:eastAsia="方正仿宋_GBK" w:cs="Times New Roman"/>
          <w:sz w:val="32"/>
        </w:rPr>
        <w:drawing>
          <wp:inline distT="0" distB="0" distL="114300" distR="114300">
            <wp:extent cx="4949825" cy="2511425"/>
            <wp:effectExtent l="0" t="0" r="3175" b="3175"/>
            <wp:docPr id="1" name="图片 1"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饼图&#10;&#10;描述已自动生成"/>
                    <pic:cNvPicPr>
                      <a:picLocks noChangeAspect="1"/>
                    </pic:cNvPicPr>
                  </pic:nvPicPr>
                  <pic:blipFill>
                    <a:blip r:embed="rId5"/>
                    <a:stretch>
                      <a:fillRect/>
                    </a:stretch>
                  </pic:blipFill>
                  <pic:spPr>
                    <a:xfrm>
                      <a:off x="0" y="0"/>
                      <a:ext cx="4949825" cy="2511425"/>
                    </a:xfrm>
                    <a:prstGeom prst="rect">
                      <a:avLst/>
                    </a:prstGeom>
                    <a:noFill/>
                    <a:ln>
                      <a:noFill/>
                    </a:ln>
                  </pic:spPr>
                </pic:pic>
              </a:graphicData>
            </a:graphic>
          </wp:inline>
        </w:drawing>
      </w:r>
    </w:p>
    <w:p>
      <w:pPr>
        <w:spacing w:line="59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图1-1  2022年</w:t>
      </w:r>
      <w:r>
        <w:rPr>
          <w:rFonts w:hint="eastAsia" w:ascii="Times New Roman" w:hAnsi="Times New Roman" w:eastAsia="黑体" w:cs="Times New Roman"/>
          <w:sz w:val="28"/>
          <w:szCs w:val="28"/>
        </w:rPr>
        <w:t>沿海经济区分品种能耗结构</w:t>
      </w:r>
    </w:p>
    <w:p>
      <w:pPr>
        <w:pStyle w:val="4"/>
        <w:spacing w:before="0" w:after="0" w:line="415" w:lineRule="auto"/>
        <w:ind w:firstLine="640" w:firstLineChars="200"/>
        <w:rPr>
          <w:rFonts w:ascii="方正楷体_GBK" w:eastAsia="方正楷体_GBK"/>
          <w:b w:val="0"/>
          <w:bCs w:val="0"/>
        </w:rPr>
      </w:pPr>
      <w:bookmarkStart w:id="8" w:name="_Toc139881521"/>
      <w:r>
        <w:rPr>
          <w:rFonts w:hint="eastAsia" w:ascii="方正楷体_GBK" w:eastAsia="方正楷体_GBK"/>
          <w:b w:val="0"/>
          <w:bCs w:val="0"/>
        </w:rPr>
        <w:t>（二）能耗</w:t>
      </w:r>
      <w:r>
        <w:rPr>
          <w:rFonts w:ascii="方正楷体_GBK" w:eastAsia="方正楷体_GBK"/>
          <w:b w:val="0"/>
          <w:bCs w:val="0"/>
        </w:rPr>
        <w:t>强度</w:t>
      </w:r>
      <w:bookmarkEnd w:id="8"/>
    </w:p>
    <w:p>
      <w:pPr>
        <w:spacing w:line="60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iCs/>
          <w:sz w:val="32"/>
          <w:szCs w:val="32"/>
        </w:rPr>
        <w:t>——单位GDP</w:t>
      </w:r>
      <w:r>
        <w:rPr>
          <w:rFonts w:hint="eastAsia" w:ascii="Times New Roman" w:hAnsi="Times New Roman" w:eastAsia="方正仿宋_GBK" w:cs="Times New Roman"/>
          <w:b/>
          <w:bCs/>
          <w:iCs/>
          <w:sz w:val="32"/>
          <w:szCs w:val="32"/>
        </w:rPr>
        <w:t>能耗</w:t>
      </w:r>
      <w:r>
        <w:rPr>
          <w:rFonts w:ascii="Times New Roman" w:hAnsi="Times New Roman" w:eastAsia="方正仿宋_GBK" w:cs="Times New Roman"/>
          <w:iCs/>
          <w:sz w:val="32"/>
          <w:szCs w:val="32"/>
        </w:rPr>
        <w:t>。2022年</w:t>
      </w:r>
      <w:r>
        <w:rPr>
          <w:rFonts w:hint="eastAsia" w:ascii="Times New Roman" w:hAnsi="Times New Roman" w:eastAsia="方正仿宋_GBK" w:cs="Times New Roman"/>
          <w:iCs/>
          <w:sz w:val="32"/>
          <w:szCs w:val="32"/>
        </w:rPr>
        <w:t>沿海经济区</w:t>
      </w:r>
      <w:r>
        <w:rPr>
          <w:rFonts w:ascii="Times New Roman" w:hAnsi="Times New Roman" w:eastAsia="方正仿宋_GBK" w:cs="Times New Roman"/>
          <w:iCs/>
          <w:sz w:val="32"/>
          <w:szCs w:val="32"/>
        </w:rPr>
        <w:t>万元地区生产总值</w:t>
      </w:r>
      <w:r>
        <w:rPr>
          <w:rFonts w:hint="eastAsia" w:ascii="Times New Roman" w:hAnsi="Times New Roman" w:eastAsia="方正仿宋_GBK" w:cs="Times New Roman"/>
          <w:iCs/>
          <w:sz w:val="32"/>
          <w:szCs w:val="32"/>
        </w:rPr>
        <w:t>能耗</w:t>
      </w:r>
      <w:r>
        <w:rPr>
          <w:rFonts w:ascii="Times New Roman" w:hAnsi="Times New Roman" w:eastAsia="方正仿宋_GBK" w:cs="Times New Roman"/>
          <w:iCs/>
          <w:sz w:val="32"/>
          <w:szCs w:val="32"/>
        </w:rPr>
        <w:t>为</w:t>
      </w:r>
      <w:r>
        <w:rPr>
          <w:rFonts w:hint="eastAsia" w:ascii="Times New Roman" w:hAnsi="Times New Roman" w:eastAsia="方正仿宋_GBK" w:cs="Times New Roman"/>
          <w:iCs/>
          <w:sz w:val="32"/>
          <w:szCs w:val="32"/>
        </w:rPr>
        <w:t>237.83千克标准煤</w:t>
      </w:r>
      <w:r>
        <w:rPr>
          <w:rFonts w:ascii="Times New Roman" w:hAnsi="Times New Roman" w:eastAsia="方正仿宋_GBK" w:cs="Times New Roman"/>
          <w:iCs/>
          <w:sz w:val="32"/>
          <w:szCs w:val="32"/>
        </w:rPr>
        <w:t>/万元</w:t>
      </w:r>
      <w:r>
        <w:rPr>
          <w:rFonts w:ascii="Times New Roman" w:hAnsi="Times New Roman" w:eastAsia="方正仿宋_GBK" w:cs="Times New Roman"/>
          <w:color w:val="000000"/>
          <w:sz w:val="32"/>
          <w:szCs w:val="32"/>
        </w:rPr>
        <w:t>。</w:t>
      </w:r>
    </w:p>
    <w:p>
      <w:pPr>
        <w:spacing w:line="60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——人均</w:t>
      </w:r>
      <w:r>
        <w:rPr>
          <w:rFonts w:hint="eastAsia" w:ascii="Times New Roman" w:hAnsi="Times New Roman" w:eastAsia="方正仿宋_GBK" w:cs="Times New Roman"/>
          <w:b/>
          <w:bCs/>
          <w:color w:val="000000"/>
          <w:sz w:val="32"/>
          <w:szCs w:val="32"/>
        </w:rPr>
        <w:t>能耗</w:t>
      </w:r>
      <w:r>
        <w:rPr>
          <w:rFonts w:ascii="Times New Roman" w:hAnsi="Times New Roman" w:eastAsia="方正仿宋_GBK" w:cs="Times New Roman"/>
          <w:color w:val="000000"/>
          <w:sz w:val="32"/>
          <w:szCs w:val="32"/>
        </w:rPr>
        <w:t>。</w:t>
      </w:r>
      <w:r>
        <w:rPr>
          <w:rFonts w:ascii="Times New Roman" w:hAnsi="Times New Roman" w:eastAsia="方正仿宋_GBK" w:cs="Times New Roman"/>
          <w:iCs/>
          <w:sz w:val="32"/>
          <w:szCs w:val="32"/>
        </w:rPr>
        <w:t>2022年</w:t>
      </w:r>
      <w:r>
        <w:rPr>
          <w:rFonts w:hint="eastAsia" w:ascii="Times New Roman" w:hAnsi="Times New Roman" w:eastAsia="方正仿宋_GBK" w:cs="Times New Roman"/>
          <w:iCs/>
          <w:sz w:val="32"/>
          <w:szCs w:val="32"/>
        </w:rPr>
        <w:t>沿海经济区人均能耗</w:t>
      </w:r>
      <w:r>
        <w:rPr>
          <w:rFonts w:ascii="Times New Roman" w:hAnsi="Times New Roman" w:eastAsia="方正仿宋_GBK" w:cs="Times New Roman"/>
          <w:iCs/>
          <w:sz w:val="32"/>
          <w:szCs w:val="32"/>
        </w:rPr>
        <w:t>为</w:t>
      </w:r>
      <w:r>
        <w:rPr>
          <w:rFonts w:hint="eastAsia" w:ascii="Times New Roman" w:hAnsi="Times New Roman" w:eastAsia="方正仿宋_GBK" w:cs="Times New Roman"/>
          <w:iCs/>
          <w:sz w:val="32"/>
          <w:szCs w:val="32"/>
        </w:rPr>
        <w:t>10668.2千克标准煤</w:t>
      </w:r>
      <w:r>
        <w:rPr>
          <w:rFonts w:ascii="Times New Roman" w:hAnsi="Times New Roman" w:eastAsia="方正仿宋_GBK" w:cs="Times New Roman"/>
          <w:iCs/>
          <w:sz w:val="32"/>
          <w:szCs w:val="32"/>
        </w:rPr>
        <w:t>/</w:t>
      </w:r>
      <w:r>
        <w:rPr>
          <w:rFonts w:hint="eastAsia" w:ascii="Times New Roman" w:hAnsi="Times New Roman" w:eastAsia="方正仿宋_GBK" w:cs="Times New Roman"/>
          <w:iCs/>
          <w:sz w:val="32"/>
          <w:szCs w:val="32"/>
        </w:rPr>
        <w:t>人</w:t>
      </w:r>
      <w:r>
        <w:rPr>
          <w:rFonts w:ascii="Times New Roman" w:hAnsi="Times New Roman" w:eastAsia="方正仿宋_GBK" w:cs="Times New Roman"/>
          <w:color w:val="000000"/>
          <w:sz w:val="32"/>
          <w:szCs w:val="32"/>
        </w:rPr>
        <w:t>。</w:t>
      </w:r>
    </w:p>
    <w:p>
      <w:pPr>
        <w:spacing w:line="60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w:t>
      </w:r>
      <w:r>
        <w:rPr>
          <w:rFonts w:hint="eastAsia" w:ascii="Times New Roman" w:hAnsi="Times New Roman" w:eastAsia="方正仿宋_GBK" w:cs="Times New Roman"/>
          <w:b/>
          <w:bCs/>
          <w:color w:val="000000"/>
          <w:sz w:val="32"/>
          <w:szCs w:val="32"/>
        </w:rPr>
        <w:t>地</w:t>
      </w:r>
      <w:r>
        <w:rPr>
          <w:rFonts w:ascii="Times New Roman" w:hAnsi="Times New Roman" w:eastAsia="方正仿宋_GBK" w:cs="Times New Roman"/>
          <w:b/>
          <w:bCs/>
          <w:color w:val="000000"/>
          <w:sz w:val="32"/>
          <w:szCs w:val="32"/>
        </w:rPr>
        <w:t>均</w:t>
      </w:r>
      <w:r>
        <w:rPr>
          <w:rFonts w:hint="eastAsia" w:ascii="Times New Roman" w:hAnsi="Times New Roman" w:eastAsia="方正仿宋_GBK" w:cs="Times New Roman"/>
          <w:b/>
          <w:bCs/>
          <w:color w:val="000000"/>
          <w:sz w:val="32"/>
          <w:szCs w:val="32"/>
        </w:rPr>
        <w:t>能耗</w:t>
      </w:r>
      <w:r>
        <w:rPr>
          <w:rFonts w:ascii="Times New Roman" w:hAnsi="Times New Roman" w:eastAsia="方正仿宋_GBK" w:cs="Times New Roman"/>
          <w:b/>
          <w:bCs/>
          <w:color w:val="000000"/>
          <w:sz w:val="32"/>
          <w:szCs w:val="32"/>
        </w:rPr>
        <w:t>。</w:t>
      </w:r>
      <w:r>
        <w:rPr>
          <w:rFonts w:ascii="Times New Roman" w:hAnsi="Times New Roman" w:eastAsia="方正仿宋_GBK" w:cs="Times New Roman"/>
          <w:color w:val="000000"/>
          <w:sz w:val="32"/>
          <w:szCs w:val="32"/>
        </w:rPr>
        <w:t>2022年</w:t>
      </w:r>
      <w:r>
        <w:rPr>
          <w:rFonts w:hint="eastAsia" w:ascii="Times New Roman" w:hAnsi="Times New Roman" w:eastAsia="方正仿宋_GBK" w:cs="Times New Roman"/>
          <w:color w:val="000000"/>
          <w:sz w:val="32"/>
          <w:szCs w:val="32"/>
        </w:rPr>
        <w:t>沿海经济区地均能耗</w:t>
      </w:r>
      <w:r>
        <w:rPr>
          <w:rFonts w:ascii="Times New Roman" w:hAnsi="Times New Roman" w:eastAsia="方正仿宋_GBK" w:cs="Times New Roman"/>
          <w:color w:val="000000"/>
          <w:sz w:val="32"/>
          <w:szCs w:val="32"/>
        </w:rPr>
        <w:t>为</w:t>
      </w:r>
      <w:r>
        <w:rPr>
          <w:rFonts w:hint="eastAsia" w:ascii="Times New Roman" w:hAnsi="Times New Roman" w:eastAsia="方正仿宋_GBK" w:cs="Times New Roman"/>
          <w:color w:val="000000"/>
          <w:sz w:val="32"/>
          <w:szCs w:val="32"/>
        </w:rPr>
        <w:t>582.83千克标准煤</w:t>
      </w:r>
      <w:r>
        <w:rPr>
          <w:rFonts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rPr>
        <w:t>亩</w:t>
      </w:r>
      <w:r>
        <w:rPr>
          <w:rFonts w:ascii="Times New Roman" w:hAnsi="Times New Roman" w:eastAsia="方正仿宋_GBK" w:cs="Times New Roman"/>
          <w:color w:val="000000"/>
          <w:sz w:val="32"/>
          <w:szCs w:val="32"/>
        </w:rPr>
        <w:t>。</w:t>
      </w:r>
    </w:p>
    <w:p>
      <w:pPr>
        <w:pStyle w:val="4"/>
        <w:spacing w:before="0" w:after="0" w:line="415" w:lineRule="auto"/>
        <w:ind w:firstLine="640" w:firstLineChars="200"/>
        <w:rPr>
          <w:rFonts w:ascii="方正楷体_GBK" w:eastAsia="方正楷体_GBK"/>
          <w:b w:val="0"/>
          <w:bCs w:val="0"/>
        </w:rPr>
      </w:pPr>
      <w:bookmarkStart w:id="9" w:name="_Toc139881522"/>
      <w:r>
        <w:rPr>
          <w:rFonts w:hint="eastAsia" w:ascii="方正楷体_GBK" w:eastAsia="方正楷体_GBK"/>
          <w:b w:val="0"/>
          <w:bCs w:val="0"/>
        </w:rPr>
        <w:t>（三）</w:t>
      </w:r>
      <w:r>
        <w:rPr>
          <w:rFonts w:ascii="方正楷体_GBK" w:eastAsia="方正楷体_GBK"/>
          <w:b w:val="0"/>
          <w:bCs w:val="0"/>
        </w:rPr>
        <w:t>分领域</w:t>
      </w:r>
      <w:r>
        <w:rPr>
          <w:rFonts w:hint="eastAsia" w:ascii="方正楷体_GBK" w:eastAsia="方正楷体_GBK"/>
          <w:b w:val="0"/>
          <w:bCs w:val="0"/>
        </w:rPr>
        <w:t>能耗</w:t>
      </w:r>
      <w:r>
        <w:rPr>
          <w:rFonts w:ascii="方正楷体_GBK" w:eastAsia="方正楷体_GBK"/>
          <w:b w:val="0"/>
          <w:bCs w:val="0"/>
        </w:rPr>
        <w:t>结构</w:t>
      </w:r>
      <w:bookmarkEnd w:id="9"/>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沿海经济区能源消耗</w:t>
      </w:r>
      <w:r>
        <w:rPr>
          <w:rFonts w:ascii="Times New Roman" w:hAnsi="Times New Roman" w:eastAsia="方正仿宋_GBK" w:cs="Times New Roman"/>
          <w:sz w:val="32"/>
          <w:szCs w:val="32"/>
        </w:rPr>
        <w:t>主要包括农业、工业、建筑、交通等4个领域</w:t>
      </w:r>
      <w:r>
        <w:rPr>
          <w:rFonts w:hint="eastAsia" w:ascii="Times New Roman" w:hAnsi="Times New Roman" w:eastAsia="方正仿宋_GBK" w:cs="Times New Roman"/>
          <w:sz w:val="32"/>
          <w:szCs w:val="32"/>
        </w:rPr>
        <w:t>（图</w:t>
      </w: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其中建筑领域主要为建筑运行</w:t>
      </w:r>
      <w:r>
        <w:rPr>
          <w:rFonts w:hint="eastAsia" w:ascii="Times New Roman" w:hAnsi="Times New Roman" w:eastAsia="方正仿宋_GBK" w:cs="Times New Roman"/>
          <w:sz w:val="32"/>
          <w:szCs w:val="32"/>
        </w:rPr>
        <w:t>消耗的能源</w:t>
      </w:r>
      <w:r>
        <w:rPr>
          <w:rFonts w:ascii="Times New Roman" w:hAnsi="Times New Roman" w:eastAsia="方正仿宋_GBK" w:cs="Times New Roman"/>
          <w:sz w:val="32"/>
          <w:szCs w:val="32"/>
        </w:rPr>
        <w:t>，涵盖居民生活和服务业。</w:t>
      </w:r>
      <w:r>
        <w:rPr>
          <w:rFonts w:hint="eastAsia" w:ascii="Times New Roman" w:hAnsi="Times New Roman" w:eastAsia="方正仿宋_GBK" w:cs="Times New Roman"/>
          <w:sz w:val="32"/>
          <w:szCs w:val="32"/>
        </w:rPr>
        <w:t>按照上述分类梳理</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022</w:t>
      </w:r>
      <w:r>
        <w:rPr>
          <w:rFonts w:hint="eastAsia" w:ascii="Times New Roman" w:hAnsi="Times New Roman" w:eastAsia="方正仿宋_GBK" w:cs="Times New Roman"/>
          <w:sz w:val="32"/>
          <w:szCs w:val="32"/>
        </w:rPr>
        <w:t>年沿海经济区能源消耗</w:t>
      </w:r>
      <w:r>
        <w:rPr>
          <w:rFonts w:ascii="Times New Roman" w:hAnsi="Times New Roman" w:eastAsia="方正仿宋_GBK" w:cs="Times New Roman"/>
          <w:sz w:val="32"/>
          <w:szCs w:val="32"/>
        </w:rPr>
        <w:t>以</w:t>
      </w:r>
      <w:r>
        <w:rPr>
          <w:rFonts w:hint="eastAsia" w:ascii="Times New Roman" w:hAnsi="Times New Roman" w:eastAsia="方正仿宋_GBK" w:cs="Times New Roman"/>
          <w:sz w:val="32"/>
          <w:szCs w:val="32"/>
        </w:rPr>
        <w:t>工业</w:t>
      </w:r>
      <w:r>
        <w:rPr>
          <w:rFonts w:ascii="Times New Roman" w:hAnsi="Times New Roman" w:eastAsia="方正仿宋_GBK" w:cs="Times New Roman"/>
          <w:sz w:val="32"/>
          <w:szCs w:val="32"/>
        </w:rPr>
        <w:t>领域</w:t>
      </w:r>
      <w:r>
        <w:rPr>
          <w:rFonts w:hint="eastAsia" w:ascii="Times New Roman" w:hAnsi="Times New Roman" w:eastAsia="方正仿宋_GBK" w:cs="Times New Roman"/>
          <w:sz w:val="32"/>
          <w:szCs w:val="32"/>
        </w:rPr>
        <w:t>为主，工业领域主要消耗电力28591.1万</w:t>
      </w:r>
      <w:r>
        <w:rPr>
          <w:rFonts w:hint="eastAsia" w:ascii="Times New Roman" w:hAnsi="Times New Roman" w:eastAsia="方正仿宋_GBK" w:cs="Times New Roman"/>
          <w:sz w:val="32"/>
        </w:rPr>
        <w:t>kWh、天然气62.4万立方米、生物质燃料55981.2吨，折合成标准煤量为61556.8吨、占比82.43%</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其次为</w:t>
      </w:r>
      <w:r>
        <w:rPr>
          <w:rFonts w:hint="eastAsia" w:ascii="Times New Roman" w:hAnsi="Times New Roman" w:eastAsia="方正仿宋_GBK" w:cs="Times New Roman"/>
          <w:sz w:val="32"/>
          <w:szCs w:val="32"/>
        </w:rPr>
        <w:t>农业</w:t>
      </w:r>
      <w:r>
        <w:rPr>
          <w:rFonts w:ascii="Times New Roman" w:hAnsi="Times New Roman" w:eastAsia="方正仿宋_GBK" w:cs="Times New Roman"/>
          <w:sz w:val="32"/>
          <w:szCs w:val="32"/>
        </w:rPr>
        <w:t>领域</w:t>
      </w:r>
      <w:r>
        <w:rPr>
          <w:rFonts w:hint="eastAsia" w:ascii="Times New Roman" w:hAnsi="Times New Roman" w:eastAsia="方正仿宋_GBK" w:cs="Times New Roman"/>
          <w:sz w:val="32"/>
          <w:szCs w:val="32"/>
        </w:rPr>
        <w:t>，农业领域主要消耗电力8239.2万</w:t>
      </w:r>
      <w:r>
        <w:rPr>
          <w:rFonts w:hint="eastAsia" w:ascii="Times New Roman" w:hAnsi="Times New Roman" w:eastAsia="方正仿宋_GBK" w:cs="Times New Roman"/>
          <w:sz w:val="32"/>
        </w:rPr>
        <w:t>kWh、柴油89.1吨，折合成标准煤量为10252.9吨、占比13.73%</w:t>
      </w:r>
      <w:r>
        <w:rPr>
          <w:rFonts w:hint="eastAsia" w:ascii="Times New Roman" w:hAnsi="Times New Roman" w:eastAsia="方正仿宋_GBK" w:cs="Times New Roman"/>
          <w:sz w:val="32"/>
          <w:szCs w:val="32"/>
        </w:rPr>
        <w:t>；第三为建筑</w:t>
      </w:r>
      <w:r>
        <w:rPr>
          <w:rFonts w:ascii="Times New Roman" w:hAnsi="Times New Roman" w:eastAsia="方正仿宋_GBK" w:cs="Times New Roman"/>
          <w:sz w:val="32"/>
          <w:szCs w:val="32"/>
        </w:rPr>
        <w:t>领域</w:t>
      </w:r>
      <w:r>
        <w:rPr>
          <w:rFonts w:hint="eastAsia" w:ascii="Times New Roman" w:hAnsi="Times New Roman" w:eastAsia="方正仿宋_GBK" w:cs="Times New Roman"/>
          <w:sz w:val="32"/>
          <w:szCs w:val="32"/>
        </w:rPr>
        <w:t>，建筑领域主要消耗电力834.4万kWh、天然气72.3万立方米，</w:t>
      </w:r>
      <w:r>
        <w:rPr>
          <w:rFonts w:hint="eastAsia" w:ascii="Times New Roman" w:hAnsi="Times New Roman" w:eastAsia="方正仿宋_GBK" w:cs="Times New Roman"/>
          <w:sz w:val="32"/>
        </w:rPr>
        <w:t>折合成标准煤量为</w:t>
      </w:r>
      <w:r>
        <w:rPr>
          <w:rFonts w:hint="eastAsia" w:ascii="Times New Roman" w:hAnsi="Times New Roman" w:eastAsia="方正仿宋_GBK" w:cs="Times New Roman"/>
          <w:sz w:val="32"/>
          <w:szCs w:val="32"/>
        </w:rPr>
        <w:t>1987.0吨、占比2.66%；</w:t>
      </w:r>
      <w:r>
        <w:rPr>
          <w:rFonts w:ascii="Times New Roman" w:hAnsi="Times New Roman" w:eastAsia="方正仿宋_GBK" w:cs="Times New Roman"/>
          <w:sz w:val="32"/>
          <w:szCs w:val="32"/>
        </w:rPr>
        <w:t>最后为</w:t>
      </w:r>
      <w:r>
        <w:rPr>
          <w:rFonts w:hint="eastAsia" w:ascii="Times New Roman" w:hAnsi="Times New Roman" w:eastAsia="方正仿宋_GBK" w:cs="Times New Roman"/>
          <w:sz w:val="32"/>
          <w:szCs w:val="32"/>
        </w:rPr>
        <w:t>交通</w:t>
      </w:r>
      <w:r>
        <w:rPr>
          <w:rFonts w:ascii="Times New Roman" w:hAnsi="Times New Roman" w:eastAsia="方正仿宋_GBK" w:cs="Times New Roman"/>
          <w:sz w:val="32"/>
          <w:szCs w:val="32"/>
        </w:rPr>
        <w:t>领域</w:t>
      </w:r>
      <w:r>
        <w:rPr>
          <w:rFonts w:hint="eastAsia" w:ascii="Times New Roman" w:hAnsi="Times New Roman" w:eastAsia="方正仿宋_GBK" w:cs="Times New Roman"/>
          <w:sz w:val="32"/>
          <w:szCs w:val="32"/>
        </w:rPr>
        <w:t>，交通领域主要消耗汽油598.5吨，</w:t>
      </w:r>
      <w:r>
        <w:rPr>
          <w:rFonts w:hint="eastAsia" w:ascii="Times New Roman" w:hAnsi="Times New Roman" w:eastAsia="方正仿宋_GBK" w:cs="Times New Roman"/>
          <w:sz w:val="32"/>
        </w:rPr>
        <w:t>折算成标准煤量为</w:t>
      </w:r>
      <w:r>
        <w:rPr>
          <w:rFonts w:hint="eastAsia" w:ascii="Times New Roman" w:hAnsi="Times New Roman" w:eastAsia="方正仿宋_GBK" w:cs="Times New Roman"/>
          <w:sz w:val="32"/>
          <w:szCs w:val="32"/>
        </w:rPr>
        <w:t>880.6吨、占比1.18%</w:t>
      </w:r>
      <w:r>
        <w:rPr>
          <w:rFonts w:ascii="Times New Roman" w:hAnsi="Times New Roman" w:eastAsia="方正仿宋_GBK" w:cs="Times New Roman"/>
          <w:sz w:val="32"/>
          <w:szCs w:val="32"/>
        </w:rPr>
        <w:t>。</w:t>
      </w:r>
    </w:p>
    <w:p>
      <w:pPr>
        <w:spacing w:line="360" w:lineRule="auto"/>
        <w:jc w:val="center"/>
        <w:rPr>
          <w:rFonts w:ascii="Times New Roman" w:hAnsi="Times New Roman" w:eastAsia="方正仿宋_GBK" w:cs="Times New Roman"/>
          <w:sz w:val="32"/>
          <w:szCs w:val="32"/>
        </w:rPr>
      </w:pPr>
      <w:r>
        <w:rPr>
          <w:rFonts w:ascii="Times New Roman" w:hAnsi="Times New Roman" w:eastAsia="方正仿宋_GBK" w:cs="Times New Roman"/>
          <w:sz w:val="32"/>
        </w:rPr>
        <w:drawing>
          <wp:inline distT="0" distB="0" distL="114300" distR="114300">
            <wp:extent cx="4949825" cy="2316480"/>
            <wp:effectExtent l="0" t="0" r="3175" b="7620"/>
            <wp:docPr id="2" name="图片 2"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饼图&#10;&#10;描述已自动生成"/>
                    <pic:cNvPicPr>
                      <a:picLocks noChangeAspect="1"/>
                    </pic:cNvPicPr>
                  </pic:nvPicPr>
                  <pic:blipFill>
                    <a:blip r:embed="rId6"/>
                    <a:stretch>
                      <a:fillRect/>
                    </a:stretch>
                  </pic:blipFill>
                  <pic:spPr>
                    <a:xfrm>
                      <a:off x="0" y="0"/>
                      <a:ext cx="4949825" cy="2316480"/>
                    </a:xfrm>
                    <a:prstGeom prst="rect">
                      <a:avLst/>
                    </a:prstGeom>
                    <a:noFill/>
                    <a:ln>
                      <a:noFill/>
                    </a:ln>
                  </pic:spPr>
                </pic:pic>
              </a:graphicData>
            </a:graphic>
          </wp:inline>
        </w:drawing>
      </w:r>
    </w:p>
    <w:p>
      <w:pPr>
        <w:spacing w:line="59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图1-2  2022年</w:t>
      </w:r>
      <w:r>
        <w:rPr>
          <w:rFonts w:hint="eastAsia" w:ascii="Times New Roman" w:hAnsi="Times New Roman" w:eastAsia="黑体" w:cs="Times New Roman"/>
          <w:sz w:val="28"/>
          <w:szCs w:val="28"/>
        </w:rPr>
        <w:t>沿海经济区分领域能耗结构</w:t>
      </w:r>
    </w:p>
    <w:p>
      <w:pPr>
        <w:jc w:val="center"/>
      </w:pPr>
    </w:p>
    <w:p>
      <w:pPr>
        <w:pStyle w:val="3"/>
        <w:jc w:val="center"/>
        <w:rPr>
          <w:rFonts w:ascii="方正楷体_GBK" w:eastAsia="方正楷体_GBK"/>
          <w:b w:val="0"/>
          <w:bCs w:val="0"/>
        </w:rPr>
      </w:pPr>
      <w:bookmarkStart w:id="10" w:name="_Toc139881523"/>
      <w:r>
        <w:rPr>
          <w:rFonts w:hint="eastAsia" w:ascii="方正楷体_GBK" w:eastAsia="方正楷体_GBK"/>
          <w:b w:val="0"/>
          <w:bCs w:val="0"/>
        </w:rPr>
        <w:t>第三节 碳排放现状</w:t>
      </w:r>
      <w:bookmarkEnd w:id="10"/>
    </w:p>
    <w:p>
      <w:pPr>
        <w:pStyle w:val="4"/>
        <w:spacing w:before="0" w:after="0" w:line="415" w:lineRule="auto"/>
        <w:ind w:firstLine="640" w:firstLineChars="200"/>
        <w:rPr>
          <w:rFonts w:ascii="Times New Roman" w:hAnsi="Times New Roman" w:eastAsia="方正楷体_GBK" w:cs="Times New Roman"/>
        </w:rPr>
      </w:pPr>
      <w:bookmarkStart w:id="11" w:name="_Toc2654"/>
      <w:bookmarkStart w:id="12" w:name="_Toc139881524"/>
      <w:r>
        <w:rPr>
          <w:rFonts w:hint="eastAsia" w:ascii="方正楷体_GBK" w:eastAsia="方正楷体_GBK"/>
          <w:b w:val="0"/>
          <w:bCs w:val="0"/>
        </w:rPr>
        <w:t>（一）</w:t>
      </w:r>
      <w:r>
        <w:rPr>
          <w:rFonts w:ascii="方正楷体_GBK" w:eastAsia="方正楷体_GBK"/>
          <w:b w:val="0"/>
          <w:bCs w:val="0"/>
        </w:rPr>
        <w:t>碳排放总量</w:t>
      </w:r>
      <w:bookmarkEnd w:id="11"/>
      <w:r>
        <w:rPr>
          <w:rFonts w:hint="eastAsia" w:ascii="方正楷体_GBK" w:eastAsia="方正楷体_GBK"/>
          <w:b w:val="0"/>
          <w:bCs w:val="0"/>
        </w:rPr>
        <w:t>及构成</w:t>
      </w:r>
      <w:bookmarkEnd w:id="12"/>
    </w:p>
    <w:p>
      <w:pPr>
        <w:spacing w:line="600" w:lineRule="exact"/>
        <w:ind w:firstLine="640" w:firstLineChars="200"/>
        <w:rPr>
          <w:rFonts w:ascii="Times New Roman" w:hAnsi="Times New Roman" w:eastAsia="方正仿宋_GBK" w:cs="Times New Roman"/>
          <w:sz w:val="28"/>
          <w:szCs w:val="28"/>
        </w:rPr>
      </w:pPr>
      <w:r>
        <w:rPr>
          <w:rFonts w:hint="eastAsia" w:ascii="Times New Roman" w:hAnsi="Times New Roman" w:eastAsia="方正仿宋_GBK" w:cs="Times New Roman"/>
          <w:color w:val="000000"/>
          <w:sz w:val="32"/>
          <w:szCs w:val="32"/>
        </w:rPr>
        <w:t>本规划中的碳排放指二氧化碳排放，不包括非二氧化碳温室气体排放。碳排放核算边界为能源活动二氧化碳排放。</w:t>
      </w:r>
      <w:r>
        <w:rPr>
          <w:rFonts w:ascii="Times New Roman" w:hAnsi="Times New Roman" w:eastAsia="方正仿宋_GBK" w:cs="Times New Roman"/>
          <w:color w:val="000000"/>
          <w:sz w:val="32"/>
          <w:szCs w:val="32"/>
        </w:rPr>
        <w:t>目前，国家</w:t>
      </w:r>
      <w:r>
        <w:rPr>
          <w:rFonts w:ascii="Times New Roman" w:hAnsi="Times New Roman" w:eastAsia="方正仿宋_GBK" w:cs="Times New Roman"/>
          <w:sz w:val="32"/>
        </w:rPr>
        <w:t>尚未出台碳达峰的核算</w:t>
      </w:r>
      <w:r>
        <w:rPr>
          <w:rFonts w:hint="eastAsia" w:ascii="Times New Roman" w:hAnsi="Times New Roman" w:eastAsia="方正仿宋_GBK" w:cs="Times New Roman"/>
          <w:sz w:val="32"/>
        </w:rPr>
        <w:t>体系</w:t>
      </w:r>
      <w:r>
        <w:rPr>
          <w:rFonts w:ascii="Times New Roman" w:hAnsi="Times New Roman" w:eastAsia="方正仿宋_GBK" w:cs="Times New Roman"/>
          <w:sz w:val="32"/>
        </w:rPr>
        <w:t>，</w:t>
      </w:r>
      <w:r>
        <w:rPr>
          <w:rFonts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十三五</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省级人民政府控制温室气体排放目标责任考核》《江苏省</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十三五</w:t>
      </w:r>
      <w:r>
        <w:rPr>
          <w:rFonts w:hint="eastAsia" w:ascii="Times New Roman" w:hAnsi="Times New Roman" w:eastAsia="方正仿宋_GBK" w:cs="Times New Roman"/>
          <w:color w:val="000000"/>
          <w:sz w:val="32"/>
          <w:szCs w:val="32"/>
        </w:rPr>
        <w:t>”</w:t>
      </w:r>
      <w:r>
        <w:rPr>
          <w:rFonts w:ascii="Times New Roman" w:hAnsi="Times New Roman" w:eastAsia="方正仿宋_GBK" w:cs="Times New Roman"/>
          <w:color w:val="000000"/>
          <w:sz w:val="32"/>
          <w:szCs w:val="32"/>
        </w:rPr>
        <w:t>设区市人民政府控制温室气体排放目标责任考核办法》以及生态环境部编制的《省级二氧化碳排放达峰行动方案编制指南》中计算的碳排放均限定为能源消费产生的二氧化碳排放。具体包括：油品、天然气等化石能源消费产生的二氧化碳排放，以及电力调入调出所蕴含的二氧化碳排放，各能源品种二氧化碳排放因子</w:t>
      </w:r>
      <w:r>
        <w:rPr>
          <w:rFonts w:hint="eastAsia" w:ascii="Times New Roman" w:hAnsi="Times New Roman" w:eastAsia="方正仿宋_GBK" w:cs="Times New Roman"/>
          <w:color w:val="000000"/>
          <w:sz w:val="32"/>
          <w:szCs w:val="32"/>
        </w:rPr>
        <w:t>见表</w:t>
      </w:r>
      <w:r>
        <w:rPr>
          <w:rFonts w:ascii="Times New Roman" w:hAnsi="Times New Roman" w:eastAsia="方正仿宋_GBK" w:cs="Times New Roman"/>
          <w:color w:val="000000"/>
          <w:sz w:val="32"/>
          <w:szCs w:val="32"/>
        </w:rPr>
        <w:t>1-3</w:t>
      </w:r>
      <w:r>
        <w:rPr>
          <w:rFonts w:hint="eastAsia" w:ascii="Times New Roman" w:hAnsi="Times New Roman" w:eastAsia="方正仿宋_GBK" w:cs="Times New Roman"/>
          <w:color w:val="000000"/>
          <w:sz w:val="32"/>
          <w:szCs w:val="32"/>
        </w:rPr>
        <w:t>。虽然沿海经济区可再生能源发电量较大，可以覆盖本地区绿电使用，但由于所有可再生能源集中发电均须并入国家电网参与统筹调度，不能单纯将本地使用电力按照可再生能源电力进行零碳计算，因此本报告中将电力消耗按照火力发电进行碳排放计算。</w:t>
      </w:r>
    </w:p>
    <w:p>
      <w:pPr>
        <w:spacing w:line="360" w:lineRule="auto"/>
        <w:jc w:val="center"/>
        <w:rPr>
          <w:rFonts w:ascii="Times New Roman" w:hAnsi="Times New Roman" w:eastAsia="黑体" w:cs="Times New Roman"/>
          <w:sz w:val="28"/>
          <w:szCs w:val="28"/>
        </w:rPr>
      </w:pPr>
      <w:r>
        <w:rPr>
          <w:rFonts w:ascii="Times New Roman" w:hAnsi="Times New Roman" w:eastAsia="黑体" w:cs="Times New Roman"/>
          <w:sz w:val="28"/>
          <w:szCs w:val="28"/>
        </w:rPr>
        <w:t xml:space="preserve">表1-2  </w:t>
      </w:r>
      <w:r>
        <w:rPr>
          <w:rFonts w:hint="eastAsia" w:ascii="Times New Roman" w:hAnsi="Times New Roman" w:eastAsia="黑体" w:cs="Times New Roman"/>
          <w:sz w:val="28"/>
          <w:szCs w:val="28"/>
        </w:rPr>
        <w:t>各</w:t>
      </w:r>
      <w:r>
        <w:rPr>
          <w:rFonts w:ascii="Times New Roman" w:hAnsi="Times New Roman" w:eastAsia="黑体" w:cs="Times New Roman"/>
          <w:sz w:val="28"/>
          <w:szCs w:val="28"/>
        </w:rPr>
        <w:t>能源品种二氧化碳排放因子</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297"/>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85" w:type="dxa"/>
            <w:vAlign w:val="center"/>
          </w:tcPr>
          <w:p>
            <w:pPr>
              <w:adjustRightInd w:val="0"/>
              <w:snapToGrid w:val="0"/>
              <w:jc w:val="center"/>
              <w:rPr>
                <w:rFonts w:ascii="方正黑体_GBK" w:hAnsi="方正黑体_GBK" w:eastAsia="方正黑体_GBK" w:cs="方正黑体_GBK"/>
                <w:color w:val="000000"/>
                <w:kern w:val="0"/>
                <w:sz w:val="28"/>
                <w:szCs w:val="28"/>
              </w:rPr>
            </w:pPr>
            <w:r>
              <w:rPr>
                <w:rFonts w:hint="eastAsia" w:ascii="方正黑体_GBK" w:hAnsi="方正黑体_GBK" w:eastAsia="方正黑体_GBK" w:cs="方正黑体_GBK"/>
                <w:color w:val="000000"/>
                <w:kern w:val="0"/>
                <w:sz w:val="28"/>
                <w:szCs w:val="28"/>
              </w:rPr>
              <w:t>能源品种</w:t>
            </w:r>
          </w:p>
        </w:tc>
        <w:tc>
          <w:tcPr>
            <w:tcW w:w="2297" w:type="dxa"/>
            <w:vAlign w:val="center"/>
          </w:tcPr>
          <w:p>
            <w:pPr>
              <w:adjustRightInd w:val="0"/>
              <w:snapToGrid w:val="0"/>
              <w:jc w:val="center"/>
              <w:rPr>
                <w:rFonts w:ascii="方正黑体_GBK" w:hAnsi="方正黑体_GBK" w:eastAsia="方正黑体_GBK" w:cs="方正黑体_GBK"/>
                <w:color w:val="000000"/>
                <w:kern w:val="0"/>
                <w:sz w:val="28"/>
                <w:szCs w:val="28"/>
              </w:rPr>
            </w:pPr>
            <w:r>
              <w:rPr>
                <w:rFonts w:hint="eastAsia" w:ascii="方正黑体_GBK" w:hAnsi="方正黑体_GBK" w:eastAsia="方正黑体_GBK" w:cs="方正黑体_GBK"/>
                <w:color w:val="000000"/>
                <w:kern w:val="0"/>
                <w:sz w:val="28"/>
                <w:szCs w:val="28"/>
              </w:rPr>
              <w:t>排放因子</w:t>
            </w:r>
          </w:p>
        </w:tc>
        <w:tc>
          <w:tcPr>
            <w:tcW w:w="2914" w:type="dxa"/>
            <w:vAlign w:val="center"/>
          </w:tcPr>
          <w:p>
            <w:pPr>
              <w:adjustRightInd w:val="0"/>
              <w:snapToGrid w:val="0"/>
              <w:jc w:val="center"/>
              <w:rPr>
                <w:rFonts w:ascii="方正黑体_GBK" w:hAnsi="方正黑体_GBK" w:eastAsia="方正黑体_GBK" w:cs="方正黑体_GBK"/>
                <w:color w:val="000000"/>
                <w:kern w:val="0"/>
                <w:sz w:val="28"/>
                <w:szCs w:val="28"/>
              </w:rPr>
            </w:pPr>
            <w:r>
              <w:rPr>
                <w:rFonts w:hint="eastAsia" w:ascii="方正黑体_GBK" w:hAnsi="方正黑体_GBK" w:eastAsia="方正黑体_GBK" w:cs="方正黑体_GBK"/>
                <w:color w:val="000000"/>
                <w:kern w:val="0"/>
                <w:sz w:val="28"/>
                <w:szCs w:val="28"/>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8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油品</w:t>
            </w:r>
          </w:p>
        </w:tc>
        <w:tc>
          <w:tcPr>
            <w:tcW w:w="229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1.73</w:t>
            </w:r>
          </w:p>
        </w:tc>
        <w:tc>
          <w:tcPr>
            <w:tcW w:w="2914"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吨二氧化碳/吨标准煤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8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天然气</w:t>
            </w:r>
          </w:p>
        </w:tc>
        <w:tc>
          <w:tcPr>
            <w:tcW w:w="229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1.56</w:t>
            </w:r>
          </w:p>
        </w:tc>
        <w:tc>
          <w:tcPr>
            <w:tcW w:w="2914"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吨二氧化碳/吨标准煤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8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调入电力（火力发电）</w:t>
            </w:r>
          </w:p>
        </w:tc>
        <w:tc>
          <w:tcPr>
            <w:tcW w:w="229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6.829（省级电网排放因子）</w:t>
            </w:r>
          </w:p>
        </w:tc>
        <w:tc>
          <w:tcPr>
            <w:tcW w:w="2914"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吨二氧化碳/万千瓦时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8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可再生能源电力</w:t>
            </w:r>
          </w:p>
        </w:tc>
        <w:tc>
          <w:tcPr>
            <w:tcW w:w="229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0</w:t>
            </w:r>
          </w:p>
        </w:tc>
        <w:tc>
          <w:tcPr>
            <w:tcW w:w="2914"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吨二氧化碳/万千瓦时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085"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生物质燃料</w:t>
            </w:r>
          </w:p>
        </w:tc>
        <w:tc>
          <w:tcPr>
            <w:tcW w:w="2297"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0</w:t>
            </w:r>
          </w:p>
        </w:tc>
        <w:tc>
          <w:tcPr>
            <w:tcW w:w="2914" w:type="dxa"/>
            <w:vAlign w:val="center"/>
          </w:tcPr>
          <w:p>
            <w:pPr>
              <w:adjustRightInd w:val="0"/>
              <w:snapToGrid w:val="0"/>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吨二氧化碳/吨标准煤</w:t>
            </w:r>
          </w:p>
        </w:tc>
      </w:tr>
    </w:tbl>
    <w:p>
      <w:pPr>
        <w:spacing w:line="600" w:lineRule="exact"/>
        <w:ind w:firstLine="640" w:firstLineChars="200"/>
        <w:rPr>
          <w:rFonts w:ascii="Times New Roman" w:hAnsi="Times New Roman" w:eastAsia="方正仿宋_GBK" w:cs="Times New Roman"/>
          <w:sz w:val="32"/>
        </w:rPr>
      </w:pPr>
      <w:r>
        <w:rPr>
          <w:rFonts w:hint="eastAsia" w:ascii="Times New Roman" w:hAnsi="Times New Roman" w:eastAsia="方正仿宋_GBK" w:cs="Times New Roman"/>
          <w:sz w:val="32"/>
        </w:rPr>
        <w:t>经初步核算，</w:t>
      </w:r>
      <w:r>
        <w:rPr>
          <w:rFonts w:ascii="Times New Roman" w:hAnsi="Times New Roman" w:eastAsia="方正仿宋_GBK" w:cs="Times New Roman"/>
          <w:sz w:val="32"/>
        </w:rPr>
        <w:t>2022</w:t>
      </w:r>
      <w:r>
        <w:rPr>
          <w:rFonts w:hint="eastAsia" w:ascii="Times New Roman" w:hAnsi="Times New Roman" w:eastAsia="方正仿宋_GBK" w:cs="Times New Roman"/>
          <w:sz w:val="32"/>
        </w:rPr>
        <w:t>年沿海经济区二氧化碳排放总量为261749.0吨，其中绝大多数碳排放由电力消费产生，达到257212.0吨、占比98.27%；其次是天然气消费产生的碳排放，达到2793.9吨，占比1.07</w:t>
      </w:r>
      <w:r>
        <w:rPr>
          <w:rFonts w:ascii="Times New Roman" w:hAnsi="Times New Roman" w:eastAsia="方正仿宋_GBK" w:cs="Times New Roman"/>
          <w:sz w:val="32"/>
        </w:rPr>
        <w:t>%</w:t>
      </w:r>
      <w:r>
        <w:rPr>
          <w:rFonts w:hint="eastAsia" w:ascii="Times New Roman" w:hAnsi="Times New Roman" w:eastAsia="方正仿宋_GBK" w:cs="Times New Roman"/>
          <w:sz w:val="32"/>
        </w:rPr>
        <w:t>；第三是汽油消费产生的碳排放，达到1523.5吨，占比0.58</w:t>
      </w:r>
      <w:r>
        <w:rPr>
          <w:rFonts w:ascii="Times New Roman" w:hAnsi="Times New Roman" w:eastAsia="方正仿宋_GBK" w:cs="Times New Roman"/>
          <w:sz w:val="32"/>
        </w:rPr>
        <w:t>%</w:t>
      </w:r>
      <w:r>
        <w:rPr>
          <w:rFonts w:hint="eastAsia" w:ascii="Times New Roman" w:hAnsi="Times New Roman" w:eastAsia="方正仿宋_GBK" w:cs="Times New Roman"/>
          <w:sz w:val="32"/>
        </w:rPr>
        <w:t>；最后是柴油消费产生的碳排放，达到219.5吨，占比0.08</w:t>
      </w:r>
      <w:r>
        <w:rPr>
          <w:rFonts w:ascii="Times New Roman" w:hAnsi="Times New Roman" w:eastAsia="方正仿宋_GBK" w:cs="Times New Roman"/>
          <w:sz w:val="32"/>
        </w:rPr>
        <w:t>%</w:t>
      </w:r>
      <w:r>
        <w:rPr>
          <w:rFonts w:hint="eastAsia" w:ascii="Times New Roman" w:hAnsi="Times New Roman" w:eastAsia="方正仿宋_GBK" w:cs="Times New Roman"/>
          <w:sz w:val="32"/>
        </w:rPr>
        <w:t>。生物质燃料燃烧产生的二氧化碳来源是植物光合作用吸收的二氧化碳，两者相抵，其碳排放量为零。</w:t>
      </w:r>
    </w:p>
    <w:p>
      <w:pPr>
        <w:spacing w:line="360" w:lineRule="auto"/>
        <w:jc w:val="center"/>
        <w:rPr>
          <w:rFonts w:ascii="Times New Roman" w:hAnsi="Times New Roman" w:eastAsia="方正仿宋_GBK" w:cs="Times New Roman"/>
          <w:sz w:val="32"/>
          <w:szCs w:val="32"/>
          <w:highlight w:val="yellow"/>
        </w:rPr>
      </w:pPr>
      <w:r>
        <w:rPr>
          <w:rFonts w:ascii="Times New Roman" w:hAnsi="Times New Roman" w:eastAsia="方正仿宋_GBK" w:cs="Times New Roman"/>
          <w:sz w:val="32"/>
        </w:rPr>
        <w:drawing>
          <wp:inline distT="0" distB="0" distL="114300" distR="114300">
            <wp:extent cx="4761230" cy="2804160"/>
            <wp:effectExtent l="0" t="0" r="1270" b="15240"/>
            <wp:docPr id="4" name="图片 3"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表, 饼图&#10;&#10;描述已自动生成"/>
                    <pic:cNvPicPr>
                      <a:picLocks noChangeAspect="1"/>
                    </pic:cNvPicPr>
                  </pic:nvPicPr>
                  <pic:blipFill>
                    <a:blip r:embed="rId7"/>
                    <a:stretch>
                      <a:fillRect/>
                    </a:stretch>
                  </pic:blipFill>
                  <pic:spPr>
                    <a:xfrm>
                      <a:off x="0" y="0"/>
                      <a:ext cx="4761230" cy="2804160"/>
                    </a:xfrm>
                    <a:prstGeom prst="rect">
                      <a:avLst/>
                    </a:prstGeom>
                    <a:noFill/>
                    <a:ln>
                      <a:noFill/>
                    </a:ln>
                  </pic:spPr>
                </pic:pic>
              </a:graphicData>
            </a:graphic>
          </wp:inline>
        </w:drawing>
      </w:r>
    </w:p>
    <w:p>
      <w:pPr>
        <w:spacing w:line="590" w:lineRule="exact"/>
        <w:jc w:val="center"/>
        <w:rPr>
          <w:rFonts w:ascii="Times New Roman" w:hAnsi="Times New Roman" w:eastAsia="黑体" w:cs="Times New Roman"/>
          <w:sz w:val="28"/>
          <w:szCs w:val="28"/>
        </w:rPr>
      </w:pPr>
      <w:bookmarkStart w:id="13" w:name="_Toc30701"/>
      <w:r>
        <w:rPr>
          <w:rFonts w:ascii="Times New Roman" w:hAnsi="Times New Roman" w:eastAsia="黑体" w:cs="Times New Roman"/>
          <w:sz w:val="28"/>
          <w:szCs w:val="28"/>
        </w:rPr>
        <w:t>图1-3  2022年</w:t>
      </w:r>
      <w:r>
        <w:rPr>
          <w:rFonts w:hint="eastAsia" w:ascii="Times New Roman" w:hAnsi="Times New Roman" w:eastAsia="黑体" w:cs="Times New Roman"/>
          <w:sz w:val="28"/>
          <w:szCs w:val="28"/>
        </w:rPr>
        <w:t>沿海经济区分品种碳排放结构</w:t>
      </w:r>
    </w:p>
    <w:p>
      <w:pPr>
        <w:pStyle w:val="4"/>
        <w:spacing w:before="0" w:after="0" w:line="415" w:lineRule="auto"/>
        <w:ind w:firstLine="640" w:firstLineChars="200"/>
        <w:rPr>
          <w:rFonts w:ascii="方正楷体_GBK" w:eastAsia="方正楷体_GBK"/>
          <w:b w:val="0"/>
          <w:bCs w:val="0"/>
        </w:rPr>
      </w:pPr>
      <w:bookmarkStart w:id="14" w:name="_Toc139881525"/>
      <w:r>
        <w:rPr>
          <w:rFonts w:hint="eastAsia" w:ascii="方正楷体_GBK" w:eastAsia="方正楷体_GBK"/>
          <w:b w:val="0"/>
          <w:bCs w:val="0"/>
        </w:rPr>
        <w:t>（二）</w:t>
      </w:r>
      <w:r>
        <w:rPr>
          <w:rFonts w:ascii="方正楷体_GBK" w:eastAsia="方正楷体_GBK"/>
          <w:b w:val="0"/>
          <w:bCs w:val="0"/>
        </w:rPr>
        <w:t>碳排放强度</w:t>
      </w:r>
      <w:bookmarkEnd w:id="13"/>
      <w:bookmarkEnd w:id="14"/>
    </w:p>
    <w:p>
      <w:pPr>
        <w:spacing w:line="60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iCs/>
          <w:sz w:val="32"/>
          <w:szCs w:val="32"/>
        </w:rPr>
        <w:t>——单位GDP碳排放</w:t>
      </w:r>
      <w:r>
        <w:rPr>
          <w:rFonts w:ascii="Times New Roman" w:hAnsi="Times New Roman" w:eastAsia="方正仿宋_GBK" w:cs="Times New Roman"/>
          <w:iCs/>
          <w:sz w:val="32"/>
          <w:szCs w:val="32"/>
        </w:rPr>
        <w:t>。2022年</w:t>
      </w:r>
      <w:r>
        <w:rPr>
          <w:rFonts w:hint="eastAsia" w:ascii="Times New Roman" w:hAnsi="Times New Roman" w:eastAsia="方正仿宋_GBK" w:cs="Times New Roman"/>
          <w:iCs/>
          <w:sz w:val="32"/>
          <w:szCs w:val="32"/>
        </w:rPr>
        <w:t>沿海经济区</w:t>
      </w:r>
      <w:r>
        <w:rPr>
          <w:rFonts w:ascii="Times New Roman" w:hAnsi="Times New Roman" w:eastAsia="方正仿宋_GBK" w:cs="Times New Roman"/>
          <w:iCs/>
          <w:sz w:val="32"/>
          <w:szCs w:val="32"/>
        </w:rPr>
        <w:t>万元地区生产总值碳排放为</w:t>
      </w:r>
      <w:r>
        <w:rPr>
          <w:rFonts w:hint="eastAsia" w:ascii="Times New Roman" w:hAnsi="Times New Roman" w:eastAsia="方正仿宋_GBK" w:cs="Times New Roman"/>
          <w:iCs/>
          <w:sz w:val="32"/>
          <w:szCs w:val="32"/>
        </w:rPr>
        <w:t>833.60千克</w:t>
      </w:r>
      <w:r>
        <w:rPr>
          <w:rFonts w:ascii="Times New Roman" w:hAnsi="Times New Roman" w:eastAsia="方正仿宋_GBK" w:cs="Times New Roman"/>
          <w:iCs/>
          <w:sz w:val="32"/>
          <w:szCs w:val="32"/>
        </w:rPr>
        <w:t>/万元</w:t>
      </w:r>
      <w:r>
        <w:rPr>
          <w:rFonts w:ascii="Times New Roman" w:hAnsi="Times New Roman" w:eastAsia="方正仿宋_GBK" w:cs="Times New Roman"/>
          <w:color w:val="000000"/>
          <w:sz w:val="32"/>
          <w:szCs w:val="32"/>
        </w:rPr>
        <w:t>。</w:t>
      </w:r>
    </w:p>
    <w:p>
      <w:pPr>
        <w:spacing w:line="600" w:lineRule="exact"/>
        <w:ind w:firstLine="643" w:firstLineChars="200"/>
        <w:rPr>
          <w:rFonts w:ascii="Times New Roman" w:hAnsi="Times New Roman" w:eastAsia="方正仿宋_GBK" w:cs="Times New Roman"/>
          <w:color w:val="000000"/>
          <w:sz w:val="32"/>
          <w:szCs w:val="32"/>
        </w:rPr>
      </w:pPr>
      <w:r>
        <w:rPr>
          <w:rFonts w:ascii="Times New Roman" w:hAnsi="Times New Roman" w:eastAsia="方正仿宋_GBK" w:cs="Times New Roman"/>
          <w:b/>
          <w:bCs/>
          <w:color w:val="000000"/>
          <w:sz w:val="32"/>
          <w:szCs w:val="32"/>
        </w:rPr>
        <w:t>——人均碳排放</w:t>
      </w:r>
      <w:r>
        <w:rPr>
          <w:rFonts w:ascii="Times New Roman" w:hAnsi="Times New Roman" w:eastAsia="方正仿宋_GBK" w:cs="Times New Roman"/>
          <w:color w:val="000000"/>
          <w:sz w:val="32"/>
          <w:szCs w:val="32"/>
        </w:rPr>
        <w:t>。</w:t>
      </w:r>
      <w:r>
        <w:rPr>
          <w:rFonts w:ascii="Times New Roman" w:hAnsi="Times New Roman" w:eastAsia="方正仿宋_GBK" w:cs="Times New Roman"/>
          <w:iCs/>
          <w:sz w:val="32"/>
          <w:szCs w:val="32"/>
        </w:rPr>
        <w:t>2022年</w:t>
      </w:r>
      <w:r>
        <w:rPr>
          <w:rFonts w:hint="eastAsia" w:ascii="Times New Roman" w:hAnsi="Times New Roman" w:eastAsia="方正仿宋_GBK" w:cs="Times New Roman"/>
          <w:iCs/>
          <w:sz w:val="32"/>
          <w:szCs w:val="32"/>
        </w:rPr>
        <w:t>沿海经济区人均</w:t>
      </w:r>
      <w:r>
        <w:rPr>
          <w:rFonts w:ascii="Times New Roman" w:hAnsi="Times New Roman" w:eastAsia="方正仿宋_GBK" w:cs="Times New Roman"/>
          <w:iCs/>
          <w:sz w:val="32"/>
          <w:szCs w:val="32"/>
        </w:rPr>
        <w:t>碳排放为</w:t>
      </w:r>
      <w:r>
        <w:rPr>
          <w:rFonts w:hint="eastAsia" w:ascii="Times New Roman" w:hAnsi="Times New Roman" w:eastAsia="方正仿宋_GBK" w:cs="Times New Roman"/>
          <w:iCs/>
          <w:sz w:val="32"/>
          <w:szCs w:val="32"/>
        </w:rPr>
        <w:t>37392.71千克</w:t>
      </w:r>
      <w:r>
        <w:rPr>
          <w:rFonts w:ascii="Times New Roman" w:hAnsi="Times New Roman" w:eastAsia="方正仿宋_GBK" w:cs="Times New Roman"/>
          <w:iCs/>
          <w:sz w:val="32"/>
          <w:szCs w:val="32"/>
        </w:rPr>
        <w:t>/</w:t>
      </w:r>
      <w:r>
        <w:rPr>
          <w:rFonts w:hint="eastAsia" w:ascii="Times New Roman" w:hAnsi="Times New Roman" w:eastAsia="方正仿宋_GBK" w:cs="Times New Roman"/>
          <w:iCs/>
          <w:sz w:val="32"/>
          <w:szCs w:val="32"/>
        </w:rPr>
        <w:t>人</w:t>
      </w:r>
      <w:r>
        <w:rPr>
          <w:rFonts w:ascii="Times New Roman" w:hAnsi="Times New Roman" w:eastAsia="方正仿宋_GBK" w:cs="Times New Roman"/>
          <w:color w:val="000000"/>
          <w:sz w:val="32"/>
          <w:szCs w:val="32"/>
        </w:rPr>
        <w:t>。</w:t>
      </w:r>
    </w:p>
    <w:p>
      <w:pPr>
        <w:spacing w:line="600" w:lineRule="exact"/>
        <w:ind w:firstLine="643" w:firstLineChars="200"/>
        <w:rPr>
          <w:rFonts w:ascii="Times New Roman" w:hAnsi="Times New Roman" w:eastAsia="方正仿宋_GBK" w:cs="Times New Roman"/>
          <w:sz w:val="32"/>
        </w:rPr>
      </w:pPr>
      <w:r>
        <w:rPr>
          <w:rFonts w:ascii="Times New Roman" w:hAnsi="Times New Roman" w:eastAsia="方正仿宋_GBK" w:cs="Times New Roman"/>
          <w:b/>
          <w:bCs/>
          <w:color w:val="000000"/>
          <w:sz w:val="32"/>
          <w:szCs w:val="32"/>
        </w:rPr>
        <w:t>——</w:t>
      </w:r>
      <w:r>
        <w:rPr>
          <w:rFonts w:hint="eastAsia" w:ascii="Times New Roman" w:hAnsi="Times New Roman" w:eastAsia="方正仿宋_GBK" w:cs="Times New Roman"/>
          <w:b/>
          <w:bCs/>
          <w:color w:val="000000"/>
          <w:sz w:val="32"/>
          <w:szCs w:val="32"/>
        </w:rPr>
        <w:t>地</w:t>
      </w:r>
      <w:r>
        <w:rPr>
          <w:rFonts w:ascii="Times New Roman" w:hAnsi="Times New Roman" w:eastAsia="方正仿宋_GBK" w:cs="Times New Roman"/>
          <w:b/>
          <w:bCs/>
          <w:color w:val="000000"/>
          <w:sz w:val="32"/>
          <w:szCs w:val="32"/>
        </w:rPr>
        <w:t>均碳排放</w:t>
      </w:r>
      <w:r>
        <w:rPr>
          <w:rFonts w:ascii="Times New Roman" w:hAnsi="Times New Roman" w:eastAsia="方正仿宋_GBK" w:cs="Times New Roman"/>
          <w:color w:val="000000"/>
          <w:sz w:val="32"/>
          <w:szCs w:val="32"/>
        </w:rPr>
        <w:t>。</w:t>
      </w:r>
      <w:r>
        <w:rPr>
          <w:rFonts w:ascii="Times New Roman" w:hAnsi="Times New Roman" w:eastAsia="方正仿宋_GBK" w:cs="Times New Roman"/>
          <w:iCs/>
          <w:sz w:val="32"/>
          <w:szCs w:val="32"/>
        </w:rPr>
        <w:t>2022年</w:t>
      </w:r>
      <w:r>
        <w:rPr>
          <w:rFonts w:hint="eastAsia" w:ascii="Times New Roman" w:hAnsi="Times New Roman" w:eastAsia="方正仿宋_GBK" w:cs="Times New Roman"/>
          <w:iCs/>
          <w:sz w:val="32"/>
          <w:szCs w:val="32"/>
        </w:rPr>
        <w:t>沿海经济区地均</w:t>
      </w:r>
      <w:r>
        <w:rPr>
          <w:rFonts w:ascii="Times New Roman" w:hAnsi="Times New Roman" w:eastAsia="方正仿宋_GBK" w:cs="Times New Roman"/>
          <w:iCs/>
          <w:sz w:val="32"/>
          <w:szCs w:val="32"/>
        </w:rPr>
        <w:t>碳排放为</w:t>
      </w:r>
      <w:r>
        <w:rPr>
          <w:rFonts w:hint="eastAsia" w:ascii="Times New Roman" w:hAnsi="Times New Roman" w:eastAsia="方正仿宋_GBK" w:cs="Times New Roman"/>
          <w:iCs/>
          <w:sz w:val="32"/>
          <w:szCs w:val="32"/>
        </w:rPr>
        <w:t>2042.84千克</w:t>
      </w:r>
      <w:r>
        <w:rPr>
          <w:rFonts w:ascii="Times New Roman" w:hAnsi="Times New Roman" w:eastAsia="方正仿宋_GBK" w:cs="Times New Roman"/>
          <w:iCs/>
          <w:sz w:val="32"/>
          <w:szCs w:val="32"/>
        </w:rPr>
        <w:t>/</w:t>
      </w:r>
      <w:r>
        <w:rPr>
          <w:rFonts w:hint="eastAsia" w:ascii="Times New Roman" w:hAnsi="Times New Roman" w:eastAsia="方正仿宋_GBK" w:cs="Times New Roman"/>
          <w:iCs/>
          <w:sz w:val="32"/>
          <w:szCs w:val="32"/>
        </w:rPr>
        <w:t>亩</w:t>
      </w:r>
      <w:r>
        <w:rPr>
          <w:rFonts w:ascii="Times New Roman" w:hAnsi="Times New Roman" w:eastAsia="方正仿宋_GBK" w:cs="Times New Roman"/>
          <w:color w:val="000000"/>
          <w:sz w:val="32"/>
          <w:szCs w:val="32"/>
        </w:rPr>
        <w:t>。</w:t>
      </w:r>
    </w:p>
    <w:p>
      <w:pPr>
        <w:pStyle w:val="4"/>
        <w:spacing w:before="0" w:after="0" w:line="415" w:lineRule="auto"/>
        <w:ind w:firstLine="640" w:firstLineChars="200"/>
        <w:rPr>
          <w:rFonts w:ascii="方正楷体_GBK" w:eastAsia="方正楷体_GBK"/>
          <w:b w:val="0"/>
          <w:bCs w:val="0"/>
        </w:rPr>
      </w:pPr>
      <w:bookmarkStart w:id="15" w:name="_Toc139881526"/>
      <w:bookmarkStart w:id="16" w:name="_Toc5629"/>
      <w:r>
        <w:rPr>
          <w:rFonts w:hint="eastAsia" w:ascii="方正楷体_GBK" w:eastAsia="方正楷体_GBK"/>
          <w:b w:val="0"/>
          <w:bCs w:val="0"/>
        </w:rPr>
        <w:t>（三）</w:t>
      </w:r>
      <w:r>
        <w:rPr>
          <w:rFonts w:ascii="方正楷体_GBK" w:eastAsia="方正楷体_GBK"/>
          <w:b w:val="0"/>
          <w:bCs w:val="0"/>
        </w:rPr>
        <w:t>分领域碳排放结构</w:t>
      </w:r>
      <w:bookmarkEnd w:id="15"/>
      <w:bookmarkEnd w:id="16"/>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碳排放量可以从直接消费侧和终端消费侧两个角度来分析。直接消费侧包括能源生产与加工转换、农业、工业和建筑业、交通运输、服务业及其他、居民生活（参照国家发布的《省级二氧化碳排放达峰行动方案编制指南》）；终端消费侧，是根据</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谁使用、谁管理、谁负责</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的原则，将电力、热力等能源生产与加工转换部门产生的二氧化碳计入实际消耗电力和热力的部门。采用终端消费侧分析方法，有利于明确减碳责任，对实际使用电力和热力的主体采取减排措施。因此，本</w:t>
      </w:r>
      <w:r>
        <w:rPr>
          <w:rFonts w:hint="eastAsia" w:ascii="Times New Roman" w:hAnsi="Times New Roman" w:eastAsia="方正仿宋_GBK" w:cs="Times New Roman"/>
          <w:sz w:val="32"/>
          <w:szCs w:val="32"/>
        </w:rPr>
        <w:t>规划</w:t>
      </w:r>
      <w:r>
        <w:rPr>
          <w:rFonts w:ascii="Times New Roman" w:hAnsi="Times New Roman" w:eastAsia="方正仿宋_GBK" w:cs="Times New Roman"/>
          <w:sz w:val="32"/>
          <w:szCs w:val="32"/>
        </w:rPr>
        <w:t>采用终端消费侧分析计算碳排放量，将由化石能源燃烧产生的电力和热力（包括调</w:t>
      </w:r>
      <w:r>
        <w:rPr>
          <w:rFonts w:hint="eastAsia" w:ascii="Times New Roman" w:hAnsi="Times New Roman" w:eastAsia="方正仿宋_GBK" w:cs="Times New Roman"/>
          <w:sz w:val="32"/>
          <w:szCs w:val="32"/>
        </w:rPr>
        <w:t>出</w:t>
      </w:r>
      <w:r>
        <w:rPr>
          <w:rFonts w:ascii="Times New Roman" w:hAnsi="Times New Roman" w:eastAsia="方正仿宋_GBK" w:cs="Times New Roman"/>
          <w:sz w:val="32"/>
          <w:szCs w:val="32"/>
        </w:rPr>
        <w:t>电</w:t>
      </w:r>
      <w:r>
        <w:rPr>
          <w:rFonts w:hint="eastAsia" w:ascii="Times New Roman" w:hAnsi="Times New Roman" w:eastAsia="方正仿宋_GBK" w:cs="Times New Roman"/>
          <w:sz w:val="32"/>
          <w:szCs w:val="32"/>
        </w:rPr>
        <w:t>力</w:t>
      </w:r>
      <w:r>
        <w:rPr>
          <w:rFonts w:ascii="Times New Roman" w:hAnsi="Times New Roman" w:eastAsia="方正仿宋_GBK" w:cs="Times New Roman"/>
          <w:sz w:val="32"/>
          <w:szCs w:val="32"/>
        </w:rPr>
        <w:t>）对应的碳排放量，计入实际消费电力和热力的领域。</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碳排放</w:t>
      </w:r>
      <w:r>
        <w:rPr>
          <w:rFonts w:ascii="Times New Roman" w:hAnsi="Times New Roman" w:eastAsia="方正仿宋_GBK" w:cs="Times New Roman"/>
          <w:sz w:val="32"/>
          <w:szCs w:val="32"/>
        </w:rPr>
        <w:t>主要包括农业、工业、建筑、交通等4个领域</w:t>
      </w:r>
      <w:r>
        <w:rPr>
          <w:rFonts w:hint="eastAsia" w:ascii="Times New Roman" w:hAnsi="Times New Roman" w:eastAsia="方正仿宋_GBK" w:cs="Times New Roman"/>
          <w:sz w:val="32"/>
          <w:szCs w:val="32"/>
        </w:rPr>
        <w:t>（图</w:t>
      </w:r>
      <w:r>
        <w:rPr>
          <w:rFonts w:ascii="Times New Roman" w:hAnsi="Times New Roman" w:eastAsia="方正仿宋_GBK" w:cs="Times New Roman"/>
          <w:sz w:val="32"/>
          <w:szCs w:val="32"/>
        </w:rPr>
        <w:t>1-4</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。其中，建筑领域主要为建筑运行能耗产生的碳排放，涵盖居民生活和服务业。</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按照上述原则计算分析，</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022</w:t>
      </w:r>
      <w:r>
        <w:rPr>
          <w:rFonts w:hint="eastAsia" w:ascii="Times New Roman" w:hAnsi="Times New Roman" w:eastAsia="方正仿宋_GBK" w:cs="Times New Roman"/>
          <w:sz w:val="32"/>
          <w:szCs w:val="32"/>
        </w:rPr>
        <w:t>年沿海经济区</w:t>
      </w:r>
      <w:r>
        <w:rPr>
          <w:rFonts w:ascii="Times New Roman" w:hAnsi="Times New Roman" w:eastAsia="方正仿宋_GBK" w:cs="Times New Roman"/>
          <w:sz w:val="32"/>
          <w:szCs w:val="32"/>
        </w:rPr>
        <w:t>碳排放以</w:t>
      </w:r>
      <w:r>
        <w:rPr>
          <w:rFonts w:hint="eastAsia" w:ascii="Times New Roman" w:hAnsi="Times New Roman" w:eastAsia="方正仿宋_GBK" w:cs="Times New Roman"/>
          <w:sz w:val="32"/>
          <w:szCs w:val="32"/>
        </w:rPr>
        <w:t>工业</w:t>
      </w:r>
      <w:r>
        <w:rPr>
          <w:rFonts w:ascii="Times New Roman" w:hAnsi="Times New Roman" w:eastAsia="方正仿宋_GBK" w:cs="Times New Roman"/>
          <w:sz w:val="32"/>
          <w:szCs w:val="32"/>
        </w:rPr>
        <w:t>领域</w:t>
      </w:r>
      <w:r>
        <w:rPr>
          <w:rFonts w:hint="eastAsia" w:ascii="Times New Roman" w:hAnsi="Times New Roman" w:eastAsia="方正仿宋_GBK" w:cs="Times New Roman"/>
          <w:sz w:val="32"/>
          <w:szCs w:val="32"/>
        </w:rPr>
        <w:t>为主</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碳排放量196542.2</w:t>
      </w:r>
      <w:r>
        <w:rPr>
          <w:rFonts w:ascii="Times New Roman" w:hAnsi="Times New Roman" w:eastAsia="方正仿宋_GBK" w:cs="Times New Roman"/>
          <w:sz w:val="32"/>
          <w:szCs w:val="32"/>
        </w:rPr>
        <w:t>吨，占</w:t>
      </w:r>
      <w:r>
        <w:rPr>
          <w:rFonts w:hint="eastAsia" w:ascii="Times New Roman" w:hAnsi="Times New Roman" w:eastAsia="方正仿宋_GBK" w:cs="Times New Roman"/>
          <w:sz w:val="32"/>
          <w:szCs w:val="32"/>
        </w:rPr>
        <w:t>比75.09</w:t>
      </w:r>
      <w:r>
        <w:rPr>
          <w:rFonts w:ascii="Times New Roman" w:hAnsi="Times New Roman" w:eastAsia="方正仿宋_GBK" w:cs="Times New Roman"/>
          <w:sz w:val="32"/>
          <w:szCs w:val="32"/>
        </w:rPr>
        <w:t>%），其次为</w:t>
      </w:r>
      <w:r>
        <w:rPr>
          <w:rFonts w:hint="eastAsia" w:ascii="Times New Roman" w:hAnsi="Times New Roman" w:eastAsia="方正仿宋_GBK" w:cs="Times New Roman"/>
          <w:sz w:val="32"/>
          <w:szCs w:val="32"/>
        </w:rPr>
        <w:t>农业</w:t>
      </w:r>
      <w:r>
        <w:rPr>
          <w:rFonts w:ascii="Times New Roman" w:hAnsi="Times New Roman" w:eastAsia="方正仿宋_GBK" w:cs="Times New Roman"/>
          <w:sz w:val="32"/>
          <w:szCs w:val="32"/>
        </w:rPr>
        <w:t>领域（</w:t>
      </w:r>
      <w:r>
        <w:rPr>
          <w:rFonts w:hint="eastAsia" w:ascii="Times New Roman" w:hAnsi="Times New Roman" w:eastAsia="方正仿宋_GBK" w:cs="Times New Roman"/>
          <w:sz w:val="32"/>
          <w:szCs w:val="32"/>
        </w:rPr>
        <w:t>碳排放量56485.1</w:t>
      </w:r>
      <w:r>
        <w:rPr>
          <w:rFonts w:ascii="Times New Roman" w:hAnsi="Times New Roman" w:eastAsia="方正仿宋_GBK" w:cs="Times New Roman"/>
          <w:sz w:val="32"/>
          <w:szCs w:val="32"/>
        </w:rPr>
        <w:t>吨，占</w:t>
      </w:r>
      <w:r>
        <w:rPr>
          <w:rFonts w:hint="eastAsia" w:ascii="Times New Roman" w:hAnsi="Times New Roman" w:eastAsia="方正仿宋_GBK" w:cs="Times New Roman"/>
          <w:sz w:val="32"/>
          <w:szCs w:val="32"/>
        </w:rPr>
        <w:t>比21.58</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，第三为建筑</w:t>
      </w:r>
      <w:r>
        <w:rPr>
          <w:rFonts w:ascii="Times New Roman" w:hAnsi="Times New Roman" w:eastAsia="方正仿宋_GBK" w:cs="Times New Roman"/>
          <w:sz w:val="32"/>
          <w:szCs w:val="32"/>
        </w:rPr>
        <w:t>领域（</w:t>
      </w:r>
      <w:r>
        <w:rPr>
          <w:rFonts w:hint="eastAsia" w:ascii="Times New Roman" w:hAnsi="Times New Roman" w:eastAsia="方正仿宋_GBK" w:cs="Times New Roman"/>
          <w:sz w:val="32"/>
          <w:szCs w:val="32"/>
        </w:rPr>
        <w:t>碳排放量7198.1</w:t>
      </w:r>
      <w:r>
        <w:rPr>
          <w:rFonts w:ascii="Times New Roman" w:hAnsi="Times New Roman" w:eastAsia="方正仿宋_GBK" w:cs="Times New Roman"/>
          <w:sz w:val="32"/>
          <w:szCs w:val="32"/>
        </w:rPr>
        <w:t>吨，占</w:t>
      </w:r>
      <w:r>
        <w:rPr>
          <w:rFonts w:hint="eastAsia" w:ascii="Times New Roman" w:hAnsi="Times New Roman" w:eastAsia="方正仿宋_GBK" w:cs="Times New Roman"/>
          <w:sz w:val="32"/>
          <w:szCs w:val="32"/>
        </w:rPr>
        <w:t>比2.75</w:t>
      </w:r>
      <w:r>
        <w:rPr>
          <w:rFonts w:ascii="Times New Roman" w:hAnsi="Times New Roman" w:eastAsia="方正仿宋_GBK" w:cs="Times New Roman"/>
          <w:sz w:val="32"/>
          <w:szCs w:val="32"/>
        </w:rPr>
        <w:t>%），最后为</w:t>
      </w:r>
      <w:r>
        <w:rPr>
          <w:rFonts w:hint="eastAsia" w:ascii="Times New Roman" w:hAnsi="Times New Roman" w:eastAsia="方正仿宋_GBK" w:cs="Times New Roman"/>
          <w:sz w:val="32"/>
          <w:szCs w:val="32"/>
        </w:rPr>
        <w:t>交通</w:t>
      </w:r>
      <w:r>
        <w:rPr>
          <w:rFonts w:ascii="Times New Roman" w:hAnsi="Times New Roman" w:eastAsia="方正仿宋_GBK" w:cs="Times New Roman"/>
          <w:sz w:val="32"/>
          <w:szCs w:val="32"/>
        </w:rPr>
        <w:t>领域（</w:t>
      </w:r>
      <w:r>
        <w:rPr>
          <w:rFonts w:hint="eastAsia" w:ascii="Times New Roman" w:hAnsi="Times New Roman" w:eastAsia="方正仿宋_GBK" w:cs="Times New Roman"/>
          <w:sz w:val="32"/>
          <w:szCs w:val="32"/>
        </w:rPr>
        <w:t>碳排放量1523.5</w:t>
      </w:r>
      <w:r>
        <w:rPr>
          <w:rFonts w:ascii="Times New Roman" w:hAnsi="Times New Roman" w:eastAsia="方正仿宋_GBK" w:cs="Times New Roman"/>
          <w:sz w:val="32"/>
          <w:szCs w:val="32"/>
        </w:rPr>
        <w:t>吨，占</w:t>
      </w:r>
      <w:r>
        <w:rPr>
          <w:rFonts w:hint="eastAsia" w:ascii="Times New Roman" w:hAnsi="Times New Roman" w:eastAsia="方正仿宋_GBK" w:cs="Times New Roman"/>
          <w:sz w:val="32"/>
          <w:szCs w:val="32"/>
        </w:rPr>
        <w:t>比0.58</w:t>
      </w:r>
      <w:r>
        <w:rPr>
          <w:rFonts w:ascii="Times New Roman" w:hAnsi="Times New Roman" w:eastAsia="方正仿宋_GBK" w:cs="Times New Roman"/>
          <w:sz w:val="32"/>
          <w:szCs w:val="32"/>
        </w:rPr>
        <w:t>%）。</w:t>
      </w:r>
    </w:p>
    <w:p>
      <w:pPr>
        <w:spacing w:line="360" w:lineRule="auto"/>
        <w:jc w:val="center"/>
        <w:rPr>
          <w:rFonts w:ascii="Times New Roman" w:hAnsi="Times New Roman" w:eastAsia="方正仿宋_GBK" w:cs="Times New Roman"/>
          <w:sz w:val="32"/>
          <w:szCs w:val="32"/>
        </w:rPr>
      </w:pPr>
      <w:r>
        <w:rPr>
          <w:rFonts w:ascii="Times New Roman" w:hAnsi="Times New Roman" w:eastAsia="方正仿宋_GBK" w:cs="Times New Roman"/>
          <w:sz w:val="32"/>
        </w:rPr>
        <w:drawing>
          <wp:inline distT="0" distB="0" distL="114300" distR="114300">
            <wp:extent cx="4761230" cy="2804160"/>
            <wp:effectExtent l="0" t="0" r="1270" b="15240"/>
            <wp:docPr id="5" name="图片 4"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表, 饼图&#10;&#10;描述已自动生成"/>
                    <pic:cNvPicPr>
                      <a:picLocks noChangeAspect="1"/>
                    </pic:cNvPicPr>
                  </pic:nvPicPr>
                  <pic:blipFill>
                    <a:blip r:embed="rId8"/>
                    <a:stretch>
                      <a:fillRect/>
                    </a:stretch>
                  </pic:blipFill>
                  <pic:spPr>
                    <a:xfrm>
                      <a:off x="0" y="0"/>
                      <a:ext cx="4761230" cy="2804160"/>
                    </a:xfrm>
                    <a:prstGeom prst="rect">
                      <a:avLst/>
                    </a:prstGeom>
                    <a:noFill/>
                    <a:ln>
                      <a:noFill/>
                    </a:ln>
                  </pic:spPr>
                </pic:pic>
              </a:graphicData>
            </a:graphic>
          </wp:inline>
        </w:drawing>
      </w:r>
    </w:p>
    <w:p>
      <w:pPr>
        <w:spacing w:line="590" w:lineRule="exact"/>
        <w:jc w:val="center"/>
        <w:rPr>
          <w:rFonts w:ascii="Times New Roman" w:hAnsi="Times New Roman" w:eastAsia="黑体" w:cs="Times New Roman"/>
          <w:sz w:val="28"/>
          <w:szCs w:val="28"/>
        </w:rPr>
      </w:pPr>
      <w:bookmarkStart w:id="17" w:name="_Toc813"/>
      <w:r>
        <w:rPr>
          <w:rFonts w:ascii="Times New Roman" w:hAnsi="Times New Roman" w:eastAsia="黑体" w:cs="Times New Roman"/>
          <w:sz w:val="28"/>
          <w:szCs w:val="28"/>
        </w:rPr>
        <w:t>图1-4  2022年</w:t>
      </w:r>
      <w:r>
        <w:rPr>
          <w:rFonts w:hint="eastAsia" w:ascii="Times New Roman" w:hAnsi="Times New Roman" w:eastAsia="黑体" w:cs="Times New Roman"/>
          <w:sz w:val="28"/>
          <w:szCs w:val="28"/>
        </w:rPr>
        <w:t>沿海经济区分领域碳排放结构</w:t>
      </w:r>
    </w:p>
    <w:bookmarkEnd w:id="17"/>
    <w:p/>
    <w:p>
      <w:pPr>
        <w:pStyle w:val="3"/>
        <w:jc w:val="center"/>
        <w:rPr>
          <w:rFonts w:ascii="方正楷体_GBK" w:eastAsia="方正楷体_GBK"/>
          <w:b w:val="0"/>
          <w:bCs w:val="0"/>
        </w:rPr>
      </w:pPr>
      <w:bookmarkStart w:id="18" w:name="_Toc139881527"/>
      <w:r>
        <w:rPr>
          <w:rFonts w:hint="eastAsia" w:ascii="方正楷体_GBK" w:eastAsia="方正楷体_GBK"/>
          <w:b w:val="0"/>
          <w:bCs w:val="0"/>
        </w:rPr>
        <w:t>第四节 现状总结</w:t>
      </w:r>
      <w:bookmarkEnd w:id="18"/>
    </w:p>
    <w:p>
      <w:pPr>
        <w:spacing w:line="587" w:lineRule="exact"/>
        <w:ind w:firstLine="640" w:firstLineChars="200"/>
        <w:rPr>
          <w:rFonts w:ascii="Times New Roman" w:hAnsi="Times New Roman" w:eastAsia="方正仿宋_GBK" w:cs="Times New Roman"/>
          <w:bCs/>
          <w:sz w:val="32"/>
        </w:rPr>
      </w:pPr>
      <w:r>
        <w:rPr>
          <w:rFonts w:hint="eastAsia" w:ascii="Times New Roman" w:hAnsi="Times New Roman" w:eastAsia="方正仿宋_GBK" w:cs="Times New Roman"/>
          <w:bCs/>
          <w:sz w:val="32"/>
        </w:rPr>
        <w:t>从当前情况来看，沿海经济区生态资源优势明显，清洁能源利用水平较高。从能耗层面来看，初步形成了以电力消耗为主、生物质燃料消耗为辅、天然气等化石燃料为补充，工业耗能最多、农业耗能其次、建筑与交通耗能较少的能耗结构。从碳排放层面来看，初步形成了以电力消耗产生的碳排放占绝对主导，工业排放最多、农业排放其次、建筑与交通排放较少的碳排放结构。从发展阶段看，随着工业化信息化水平的不断提升，新型城镇化快速发展，居民生活品质和消费水平的不断提升，沿海经济区全社会碳排放量及用能需求将保持持续较快增长态势。此外，从产业质效看，全区清洁能源发电项目较多，但人工碳汇项目较少，目前仅依靠赐百年螺旋藻项目每年固碳0</w:t>
      </w:r>
      <w:r>
        <w:rPr>
          <w:rFonts w:ascii="Times New Roman" w:hAnsi="Times New Roman" w:eastAsia="方正仿宋_GBK" w:cs="Times New Roman"/>
          <w:bCs/>
          <w:sz w:val="32"/>
        </w:rPr>
        <w:t>.55</w:t>
      </w:r>
      <w:r>
        <w:rPr>
          <w:rFonts w:hint="eastAsia" w:ascii="Times New Roman" w:hAnsi="Times New Roman" w:eastAsia="方正仿宋_GBK" w:cs="Times New Roman"/>
          <w:bCs/>
          <w:sz w:val="32"/>
        </w:rPr>
        <w:t>万吨，虽然有</w:t>
      </w:r>
      <w:r>
        <w:rPr>
          <w:rFonts w:hint="eastAsia" w:ascii="Times New Roman" w:hAnsi="Times New Roman" w:eastAsia="方正仿宋_GBK" w:cs="Times New Roman"/>
          <w:bCs/>
          <w:sz w:val="32"/>
          <w:lang w:eastAsia="zh-CN"/>
        </w:rPr>
        <w:t>日月岛</w:t>
      </w:r>
      <w:r>
        <w:rPr>
          <w:rFonts w:hint="eastAsia" w:ascii="Times New Roman" w:hAnsi="Times New Roman" w:eastAsia="方正仿宋_GBK" w:cs="Times New Roman"/>
          <w:bCs/>
          <w:sz w:val="32"/>
        </w:rPr>
        <w:t>湿地区域等自然生态固碳优势，但未能充分发挥国家海洋经济发展示范区、国家级海洋生态文明建设示范区优势。综合分析来看，沿海经济区未来要以进一步提升清洁能源利用水平，加大碳汇产业发展力度为总抓手，加快经济社会发展全面绿色转型，进一步推动产业结构、能源结构和交通结构的低碳化变革，通过生产生活绿色转型、能源利用效率持续提升以及能源结构逐步优化，实现经济发展与碳排放“脱钩”，打造绿色低碳发展“零碳园区”。</w:t>
      </w:r>
    </w:p>
    <w:p>
      <w:pPr>
        <w:sectPr>
          <w:pgSz w:w="11906" w:h="16838"/>
          <w:pgMar w:top="1440" w:right="1800" w:bottom="1440" w:left="1800" w:header="851" w:footer="992" w:gutter="0"/>
          <w:pgNumType w:start="1"/>
          <w:cols w:space="425" w:num="1"/>
          <w:docGrid w:type="lines" w:linePitch="312" w:charSpace="0"/>
        </w:sectPr>
      </w:pPr>
    </w:p>
    <w:p>
      <w:pPr>
        <w:pStyle w:val="2"/>
        <w:jc w:val="center"/>
        <w:rPr>
          <w:rFonts w:hint="eastAsia" w:ascii="方正黑体_GBK" w:eastAsia="方正黑体_GBK"/>
          <w:b w:val="0"/>
          <w:bCs w:val="0"/>
          <w:sz w:val="32"/>
          <w:szCs w:val="32"/>
        </w:rPr>
      </w:pPr>
      <w:bookmarkStart w:id="19" w:name="_Toc139881528"/>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ascii="方正黑体_GBK" w:eastAsia="方正黑体_GBK"/>
          <w:b w:val="0"/>
          <w:bCs w:val="0"/>
          <w:sz w:val="32"/>
          <w:szCs w:val="32"/>
        </w:rPr>
      </w:pPr>
      <w:r>
        <w:rPr>
          <w:rFonts w:hint="eastAsia" w:ascii="方正黑体_GBK" w:eastAsia="方正黑体_GBK"/>
          <w:b w:val="0"/>
          <w:bCs w:val="0"/>
          <w:sz w:val="32"/>
          <w:szCs w:val="32"/>
        </w:rPr>
        <w:t xml:space="preserve">第二章 </w:t>
      </w:r>
      <w:r>
        <w:rPr>
          <w:rFonts w:ascii="方正黑体_GBK" w:eastAsia="方正黑体_GBK"/>
          <w:b w:val="0"/>
          <w:bCs w:val="0"/>
          <w:sz w:val="32"/>
          <w:szCs w:val="32"/>
        </w:rPr>
        <w:t>总体思路</w:t>
      </w:r>
      <w:bookmarkEnd w:id="19"/>
    </w:p>
    <w:p>
      <w:pPr>
        <w:pStyle w:val="3"/>
        <w:keepNext/>
        <w:keepLines/>
        <w:pageBreakBefore w:val="0"/>
        <w:widowControl w:val="0"/>
        <w:kinsoku/>
        <w:wordWrap/>
        <w:overflowPunct/>
        <w:topLinePunct w:val="0"/>
        <w:autoSpaceDE/>
        <w:autoSpaceDN/>
        <w:bidi w:val="0"/>
        <w:adjustRightInd/>
        <w:snapToGrid/>
        <w:spacing w:before="0" w:after="0" w:line="587" w:lineRule="exact"/>
        <w:jc w:val="center"/>
        <w:textAlignment w:val="auto"/>
        <w:rPr>
          <w:rFonts w:hint="eastAsia" w:ascii="Times New Roman" w:hAnsi="Times New Roman" w:eastAsia="方正仿宋_GBK" w:cs="Times New Roman"/>
          <w:b w:val="0"/>
          <w:bCs w:val="0"/>
          <w:color w:val="FF0000"/>
          <w:kern w:val="2"/>
          <w:sz w:val="32"/>
          <w:szCs w:val="32"/>
          <w:highlight w:val="yellow"/>
          <w:lang w:val="en-US" w:eastAsia="zh-CN" w:bidi="ar-SA"/>
        </w:rPr>
      </w:pPr>
      <w:bookmarkStart w:id="20" w:name="_Toc139881530"/>
      <w:r>
        <w:rPr>
          <w:rFonts w:hint="eastAsia" w:ascii="方正楷体_GBK" w:eastAsia="方正楷体_GBK"/>
          <w:b w:val="0"/>
          <w:bCs w:val="0"/>
          <w:color w:val="FF0000"/>
          <w:highlight w:val="yellow"/>
          <w:lang w:val="en-US" w:eastAsia="zh-CN"/>
        </w:rPr>
        <w:t>第一节 指导思想</w:t>
      </w:r>
      <w:r>
        <w:rPr>
          <w:rFonts w:hint="eastAsia" w:ascii="Times New Roman" w:hAnsi="Times New Roman" w:eastAsia="方正仿宋_GBK" w:cs="Times New Roman"/>
          <w:b w:val="0"/>
          <w:bCs w:val="0"/>
          <w:color w:val="FF0000"/>
          <w:kern w:val="2"/>
          <w:sz w:val="32"/>
          <w:szCs w:val="32"/>
          <w:highlight w:val="yellow"/>
          <w:lang w:val="en-US" w:eastAsia="zh-CN" w:bidi="ar-SA"/>
        </w:rPr>
        <w:t xml:space="preserve"> </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以习近平新时代中国特色社会主义思想为指导，全面贯彻党的十九大和十九届二中、三中、四中、五中、六中全会精神，全面落实习近平生态文明思想和习近平总书记对江苏工作重要讲话指示精神，统筹推进“五位一体”总体布局，协调推进“四个全面”战略布局，坚持稳中求进工作总基调，准确把握新发展阶段、深入贯彻新发展理念、主动融入新发展格局，紧扣“强富美高”总目标，以实现经济高质量发展和生态环境高水平保护为重点，以治理体系和治理能力现代化为保障，把源头治理作为根本策略，把减污降碳协同增效作为关键手段，持续走好“两海两绿”路径，更加突出精准治污、科学治污、依法治污，统筹推进“提气降碳强生态，增水固土防风险”，深入打好污染防治攻坚战，推进生态环境质量持续好转，面朝大海、向海发展、赋能未来，成为绿色转型典范，不断满足人民日益增长的优美生态环境需要， 在率先建设人与自然和谐共生的现代化上走在前列，奋力书写好 “争当表率、争做示范、走在前列”新时代射阳答卷。</w:t>
      </w:r>
    </w:p>
    <w:p>
      <w:pPr>
        <w:jc w:val="center"/>
        <w:rPr>
          <w:rFonts w:hint="eastAsia" w:ascii="方正楷体_GBK" w:eastAsia="方正楷体_GBK" w:hAnsiTheme="majorHAnsi" w:cstheme="majorBidi"/>
          <w:b w:val="0"/>
          <w:bCs w:val="0"/>
          <w:color w:val="FF0000"/>
          <w:kern w:val="2"/>
          <w:sz w:val="32"/>
          <w:szCs w:val="32"/>
          <w:highlight w:val="yellow"/>
          <w:lang w:val="en-US" w:eastAsia="zh-CN" w:bidi="ar-SA"/>
        </w:rPr>
      </w:pPr>
      <w:r>
        <w:rPr>
          <w:rFonts w:hint="eastAsia" w:ascii="方正楷体_GBK" w:eastAsia="方正楷体_GBK" w:hAnsiTheme="majorHAnsi" w:cstheme="majorBidi"/>
          <w:b w:val="0"/>
          <w:bCs w:val="0"/>
          <w:color w:val="FF0000"/>
          <w:kern w:val="2"/>
          <w:sz w:val="32"/>
          <w:szCs w:val="32"/>
          <w:highlight w:val="yellow"/>
          <w:lang w:val="en-US" w:eastAsia="zh-CN" w:bidi="ar-SA"/>
        </w:rPr>
        <w:t>第二节 发展导向</w:t>
      </w:r>
    </w:p>
    <w:p>
      <w:pPr>
        <w:ind w:firstLine="643"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坚持系统观念。</w:t>
      </w:r>
      <w:r>
        <w:rPr>
          <w:rFonts w:hint="eastAsia" w:ascii="Times New Roman" w:hAnsi="Times New Roman" w:eastAsia="方正仿宋_GBK" w:cs="Times New Roman"/>
          <w:b w:val="0"/>
          <w:bCs w:val="0"/>
          <w:color w:val="FF0000"/>
          <w:kern w:val="2"/>
          <w:sz w:val="32"/>
          <w:szCs w:val="32"/>
          <w:highlight w:val="yellow"/>
          <w:lang w:val="en-US" w:eastAsia="zh-CN" w:bidi="ar-SA"/>
        </w:rPr>
        <w:t>从生态系统整体性出发，以生态环境质量目标为导向，系统谋划、整体推进，统筹山水林田湖草系统保护和修复，推进应对气候变化与环境治理、生态保护修复协同增效，强化多污染物协同控制和区域协同治理，增强各项举措关联性和耦合性，推动生态环境持续改善。</w:t>
      </w:r>
    </w:p>
    <w:p>
      <w:pPr>
        <w:ind w:firstLine="643"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坚持源头治理。</w:t>
      </w:r>
      <w:r>
        <w:rPr>
          <w:rFonts w:hint="eastAsia" w:ascii="Times New Roman" w:hAnsi="Times New Roman" w:eastAsia="方正仿宋_GBK" w:cs="Times New Roman"/>
          <w:b w:val="0"/>
          <w:bCs w:val="0"/>
          <w:color w:val="FF0000"/>
          <w:kern w:val="2"/>
          <w:sz w:val="32"/>
          <w:szCs w:val="32"/>
          <w:highlight w:val="yellow"/>
          <w:lang w:val="en-US" w:eastAsia="zh-CN" w:bidi="ar-SA"/>
        </w:rPr>
        <w:t>贯彻落实“两山”理论，将碳达峰碳中和目标纳入生态文明建设总体布局，将生态环境保护主动融入经济社会发展全过程，坚定不移走生态优先、绿色低碳高质量发展道路。充分发挥生态环境保护对经济发展优化促进作用，推进经济社会发展全面绿色转型和能源绿色低碳发展，加快建立减污降碳一体谋划、一体部署、一体推进、一体考核制度机制。</w:t>
      </w:r>
    </w:p>
    <w:p>
      <w:pPr>
        <w:ind w:firstLine="643"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坚持问题导向。</w:t>
      </w:r>
      <w:r>
        <w:rPr>
          <w:rFonts w:hint="eastAsia" w:ascii="Times New Roman" w:hAnsi="Times New Roman" w:eastAsia="方正仿宋_GBK" w:cs="Times New Roman"/>
          <w:b w:val="0"/>
          <w:bCs w:val="0"/>
          <w:color w:val="FF0000"/>
          <w:kern w:val="2"/>
          <w:sz w:val="32"/>
          <w:szCs w:val="32"/>
          <w:highlight w:val="yellow"/>
          <w:lang w:val="en-US" w:eastAsia="zh-CN" w:bidi="ar-SA"/>
        </w:rPr>
        <w:t>围绕突出问题和短板，聚焦重点领域，坚持精准治污、科学治污、依法治污，保持力度、延伸深度、拓宽广度，运用科学思维、科学方法、科技手段，精细管理、分类施策、因地制宜，提高环境治理针对性和有效性，用法律武器治理污染，以法治力量保护生态环境。</w:t>
      </w:r>
    </w:p>
    <w:p>
      <w:pPr>
        <w:ind w:firstLine="643" w:firstLineChars="200"/>
        <w:rPr>
          <w:rFonts w:hint="eastAsia" w:ascii="方正楷体_GBK" w:eastAsia="方正楷体_GBK"/>
          <w:b w:val="0"/>
          <w:bCs w:val="0"/>
        </w:rPr>
      </w:pPr>
      <w:r>
        <w:rPr>
          <w:rFonts w:hint="eastAsia" w:ascii="Times New Roman" w:hAnsi="Times New Roman" w:eastAsia="方正仿宋_GBK" w:cs="Times New Roman"/>
          <w:b/>
          <w:bCs/>
          <w:color w:val="FF0000"/>
          <w:kern w:val="2"/>
          <w:sz w:val="32"/>
          <w:szCs w:val="32"/>
          <w:highlight w:val="yellow"/>
          <w:lang w:val="en-US" w:eastAsia="zh-CN" w:bidi="ar-SA"/>
        </w:rPr>
        <w:t>坚持改革创新。</w:t>
      </w:r>
      <w:r>
        <w:rPr>
          <w:rFonts w:hint="eastAsia" w:ascii="Times New Roman" w:hAnsi="Times New Roman" w:eastAsia="方正仿宋_GBK" w:cs="Times New Roman"/>
          <w:b w:val="0"/>
          <w:bCs w:val="0"/>
          <w:color w:val="FF0000"/>
          <w:kern w:val="2"/>
          <w:sz w:val="32"/>
          <w:szCs w:val="32"/>
          <w:highlight w:val="yellow"/>
          <w:lang w:val="en-US" w:eastAsia="zh-CN" w:bidi="ar-SA"/>
        </w:rPr>
        <w:t>立足全方位加强生态环境保护，深化生态环境保护体制机制改革创新，激励与约束并举，转变治理方式，强化绿色政策保障，健全政府市场公众良性互动、行动有力的现代环境治理体系，形成与治理任务、治理需求相适应的治理能力和治理水平。</w:t>
      </w:r>
    </w:p>
    <w:p>
      <w:pPr>
        <w:pStyle w:val="5"/>
        <w:ind w:left="0" w:leftChars="0" w:firstLine="0" w:firstLineChars="0"/>
        <w:jc w:val="center"/>
        <w:rPr>
          <w:rFonts w:hint="eastAsia" w:ascii="方正楷体_GBK" w:eastAsia="方正楷体_GBK" w:hAnsiTheme="majorHAnsi" w:cstheme="majorBidi"/>
          <w:b w:val="0"/>
          <w:bCs w:val="0"/>
          <w:color w:val="FF0000"/>
          <w:kern w:val="2"/>
          <w:sz w:val="32"/>
          <w:szCs w:val="32"/>
          <w:highlight w:val="yellow"/>
          <w:lang w:val="en-US" w:eastAsia="zh-CN" w:bidi="ar-SA"/>
        </w:rPr>
      </w:pPr>
      <w:r>
        <w:rPr>
          <w:rFonts w:hint="eastAsia" w:ascii="方正楷体_GBK" w:eastAsia="方正楷体_GBK" w:hAnsiTheme="majorHAnsi" w:cstheme="majorBidi"/>
          <w:b w:val="0"/>
          <w:bCs w:val="0"/>
          <w:color w:val="FF0000"/>
          <w:kern w:val="2"/>
          <w:sz w:val="32"/>
          <w:szCs w:val="32"/>
          <w:highlight w:val="yellow"/>
          <w:lang w:val="en-US" w:eastAsia="zh-CN" w:bidi="ar-SA"/>
        </w:rPr>
        <w:t>第三节 主要目标</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总体目标：</w:t>
      </w:r>
      <w:r>
        <w:rPr>
          <w:rFonts w:hint="eastAsia" w:ascii="Times New Roman" w:hAnsi="Times New Roman" w:eastAsia="方正仿宋_GBK" w:cs="Times New Roman"/>
          <w:b w:val="0"/>
          <w:bCs w:val="0"/>
          <w:color w:val="FF0000"/>
          <w:kern w:val="2"/>
          <w:sz w:val="32"/>
          <w:szCs w:val="32"/>
          <w:highlight w:val="yellow"/>
          <w:lang w:val="en-US" w:eastAsia="zh-CN" w:bidi="ar-SA"/>
        </w:rPr>
        <w:t>到 2025 年，绿色低碳生产生活方式和消费方式广泛形成，碳排放强度、主要污染物排放总量持续下降，生态环境明显改善，环境风险有效控制，生态安全屏障更加牢固，城乡人居品质显著提升，生态环境治理体系和治理能力显著增强，生态文明建设实现新进步，为建设“美丽射阳”奠定基础。</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——绿色发展动力持续增强。</w:t>
      </w:r>
      <w:r>
        <w:rPr>
          <w:rFonts w:hint="eastAsia" w:ascii="Times New Roman" w:hAnsi="Times New Roman" w:eastAsia="方正仿宋_GBK" w:cs="Times New Roman"/>
          <w:b w:val="0"/>
          <w:bCs w:val="0"/>
          <w:color w:val="FF0000"/>
          <w:kern w:val="2"/>
          <w:sz w:val="32"/>
          <w:szCs w:val="32"/>
          <w:highlight w:val="yellow"/>
          <w:lang w:val="en-US" w:eastAsia="zh-CN" w:bidi="ar-SA"/>
        </w:rPr>
        <w:t>绿色低碳发展水平显著提升，资源环境配置更加合理，利用效率大幅提高，单位地区生产总值能源消耗降低水平、单位地区生产总值二氧化碳排放下降水平完成上级下达目标，非化石能源占一次能源消费比重不低于 35%。</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——生态环境质量明显改善。</w:t>
      </w:r>
      <w:r>
        <w:rPr>
          <w:rFonts w:hint="eastAsia" w:ascii="Times New Roman" w:hAnsi="Times New Roman" w:eastAsia="方正仿宋_GBK" w:cs="Times New Roman"/>
          <w:b w:val="0"/>
          <w:bCs w:val="0"/>
          <w:color w:val="FF0000"/>
          <w:kern w:val="2"/>
          <w:sz w:val="32"/>
          <w:szCs w:val="32"/>
          <w:highlight w:val="yellow"/>
          <w:lang w:val="en-US" w:eastAsia="zh-CN" w:bidi="ar-SA"/>
        </w:rPr>
        <w:t>空气质量全面改善，全县环境空气质量优良天数比率完成上级下达目标，PM2.5浓度下降到 30微克/立方米以内。水环境质量稳步提升，国、省考断面水质达到或优于Ⅲ类水体比例达到 100%，消除城乡黑臭水体，海洋生态环境稳中向好。重点工程污染物减排完成上级下达任务。</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——环境风险得到有效管控。</w:t>
      </w:r>
      <w:r>
        <w:rPr>
          <w:rFonts w:hint="eastAsia" w:ascii="Times New Roman" w:hAnsi="Times New Roman" w:eastAsia="方正仿宋_GBK" w:cs="Times New Roman"/>
          <w:b w:val="0"/>
          <w:bCs w:val="0"/>
          <w:color w:val="FF0000"/>
          <w:kern w:val="2"/>
          <w:sz w:val="32"/>
          <w:szCs w:val="32"/>
          <w:highlight w:val="yellow"/>
          <w:lang w:val="en-US" w:eastAsia="zh-CN" w:bidi="ar-SA"/>
        </w:rPr>
        <w:t>危险废物环境风险防控能力明显增强，辐射安全监管能力持续加强，生态环境风险防控体系更加完备。</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——生态系统服务功能不断增强。</w:t>
      </w:r>
      <w:r>
        <w:rPr>
          <w:rFonts w:hint="eastAsia" w:ascii="Times New Roman" w:hAnsi="Times New Roman" w:eastAsia="方正仿宋_GBK" w:cs="Times New Roman"/>
          <w:b w:val="0"/>
          <w:bCs w:val="0"/>
          <w:color w:val="FF0000"/>
          <w:kern w:val="2"/>
          <w:sz w:val="32"/>
          <w:szCs w:val="32"/>
          <w:highlight w:val="yellow"/>
          <w:lang w:val="en-US" w:eastAsia="zh-CN" w:bidi="ar-SA"/>
        </w:rPr>
        <w:t>山水林田湖草系统修复稳步推进，林木覆盖率保持稳定，自然湿地保护率、大陆自然岸线保有率完成上级下达目标，生物多样性得到有效保护，生态质量指数保持稳定。</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——生态环境治理体系日益完善。</w:t>
      </w:r>
      <w:r>
        <w:rPr>
          <w:rFonts w:hint="eastAsia" w:ascii="Times New Roman" w:hAnsi="Times New Roman" w:eastAsia="方正仿宋_GBK" w:cs="Times New Roman"/>
          <w:b w:val="0"/>
          <w:bCs w:val="0"/>
          <w:color w:val="FF0000"/>
          <w:kern w:val="2"/>
          <w:sz w:val="32"/>
          <w:szCs w:val="32"/>
          <w:highlight w:val="yellow"/>
          <w:lang w:val="en-US" w:eastAsia="zh-CN" w:bidi="ar-SA"/>
        </w:rPr>
        <w:t>生态环境基础设施短板加快补齐，生态环境监管能力明显提高，生态环境治理效能显著提升。</w:t>
      </w:r>
    </w:p>
    <w:p>
      <w:pPr>
        <w:pStyle w:val="5"/>
        <w:ind w:left="0" w:leftChars="0" w:firstLine="0" w:firstLineChars="0"/>
        <w:jc w:val="center"/>
        <w:rPr>
          <w:rFonts w:hint="eastAsia" w:ascii="方正楷体_GBK" w:hAnsi="方正楷体_GBK" w:eastAsia="方正楷体_GBK" w:cs="方正楷体_GBK"/>
          <w:b/>
          <w:bCs/>
          <w:color w:val="FF0000"/>
          <w:kern w:val="2"/>
          <w:sz w:val="32"/>
          <w:szCs w:val="32"/>
          <w:highlight w:val="yellow"/>
          <w:lang w:val="en-US" w:eastAsia="zh-CN" w:bidi="ar-SA"/>
        </w:rPr>
      </w:pPr>
    </w:p>
    <w:p>
      <w:pPr>
        <w:pStyle w:val="5"/>
        <w:ind w:left="0" w:leftChars="0" w:firstLine="0" w:firstLineChars="0"/>
        <w:jc w:val="center"/>
        <w:rPr>
          <w:rFonts w:hint="default" w:ascii="方正楷体_GBK" w:eastAsia="方正楷体_GBK"/>
          <w:b w:val="0"/>
          <w:bCs w:val="0"/>
          <w:lang w:val="en-US" w:eastAsia="zh-CN"/>
        </w:rPr>
      </w:pPr>
      <w:r>
        <w:rPr>
          <w:rFonts w:hint="eastAsia" w:ascii="方正楷体_GBK" w:hAnsi="方正楷体_GBK" w:eastAsia="方正楷体_GBK" w:cs="方正楷体_GBK"/>
          <w:b/>
          <w:bCs/>
          <w:color w:val="FF0000"/>
          <w:kern w:val="2"/>
          <w:sz w:val="32"/>
          <w:szCs w:val="32"/>
          <w:highlight w:val="yellow"/>
          <w:lang w:val="en-US" w:eastAsia="zh-CN" w:bidi="ar-SA"/>
        </w:rPr>
        <w:t>表 2 射阳县“十四五”生态环境保护规划指标体系表</w:t>
      </w:r>
    </w:p>
    <w:p>
      <w:pPr>
        <w:rPr>
          <w:rFonts w:hint="eastAsia" w:ascii="方正楷体_GBK" w:eastAsia="方正楷体_GBK"/>
          <w:b w:val="0"/>
          <w:bCs w:val="0"/>
        </w:rPr>
      </w:pPr>
      <w:r>
        <w:drawing>
          <wp:anchor distT="0" distB="0" distL="114300" distR="114300" simplePos="0" relativeHeight="251660288" behindDoc="1" locked="0" layoutInCell="1" allowOverlap="1">
            <wp:simplePos x="0" y="0"/>
            <wp:positionH relativeFrom="column">
              <wp:posOffset>-180975</wp:posOffset>
            </wp:positionH>
            <wp:positionV relativeFrom="paragraph">
              <wp:posOffset>48895</wp:posOffset>
            </wp:positionV>
            <wp:extent cx="5848985" cy="6278245"/>
            <wp:effectExtent l="0" t="0" r="18415" b="8255"/>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rcRect t="4976"/>
                    <a:stretch>
                      <a:fillRect/>
                    </a:stretch>
                  </pic:blipFill>
                  <pic:spPr>
                    <a:xfrm>
                      <a:off x="0" y="0"/>
                      <a:ext cx="5848985" cy="6278245"/>
                    </a:xfrm>
                    <a:prstGeom prst="rect">
                      <a:avLst/>
                    </a:prstGeom>
                    <a:noFill/>
                    <a:ln>
                      <a:noFill/>
                    </a:ln>
                  </pic:spPr>
                </pic:pic>
              </a:graphicData>
            </a:graphic>
          </wp:anchor>
        </w:drawing>
      </w: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5"/>
        <w:rPr>
          <w:rFonts w:hint="eastAsia" w:ascii="方正楷体_GBK" w:eastAsia="方正楷体_GBK"/>
          <w:b w:val="0"/>
          <w:bCs w:val="0"/>
        </w:rPr>
      </w:pPr>
    </w:p>
    <w:p>
      <w:pPr>
        <w:pStyle w:val="3"/>
        <w:spacing w:line="587" w:lineRule="exact"/>
        <w:jc w:val="center"/>
        <w:rPr>
          <w:rFonts w:hint="eastAsia" w:ascii="方正楷体_GBK" w:eastAsia="方正楷体_GBK"/>
          <w:b w:val="0"/>
          <w:bCs w:val="0"/>
        </w:rPr>
      </w:pPr>
      <w:r>
        <w:drawing>
          <wp:anchor distT="0" distB="0" distL="114300" distR="114300" simplePos="0" relativeHeight="251660288" behindDoc="1" locked="0" layoutInCell="1" allowOverlap="1">
            <wp:simplePos x="0" y="0"/>
            <wp:positionH relativeFrom="column">
              <wp:posOffset>-221615</wp:posOffset>
            </wp:positionH>
            <wp:positionV relativeFrom="paragraph">
              <wp:posOffset>-13970</wp:posOffset>
            </wp:positionV>
            <wp:extent cx="5788025" cy="7689215"/>
            <wp:effectExtent l="0" t="0" r="3175" b="698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788025" cy="7689215"/>
                    </a:xfrm>
                    <a:prstGeom prst="rect">
                      <a:avLst/>
                    </a:prstGeom>
                    <a:noFill/>
                    <a:ln>
                      <a:noFill/>
                    </a:ln>
                  </pic:spPr>
                </pic:pic>
              </a:graphicData>
            </a:graphic>
          </wp:anchor>
        </w:drawing>
      </w:r>
    </w:p>
    <w:bookmarkEnd w:id="20"/>
    <w:p>
      <w:pPr>
        <w:pStyle w:val="2"/>
        <w:jc w:val="center"/>
        <w:rPr>
          <w:rFonts w:hint="eastAsia" w:ascii="方正黑体_GBK" w:eastAsia="方正黑体_GBK"/>
          <w:b w:val="0"/>
          <w:bCs w:val="0"/>
          <w:sz w:val="32"/>
          <w:szCs w:val="32"/>
        </w:rPr>
      </w:pPr>
      <w:bookmarkStart w:id="21" w:name="_Toc139881532"/>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center"/>
        <w:rPr>
          <w:rFonts w:hint="eastAsia" w:ascii="方正黑体_GBK" w:eastAsia="方正黑体_GBK"/>
          <w:b w:val="0"/>
          <w:bCs w:val="0"/>
          <w:sz w:val="32"/>
          <w:szCs w:val="32"/>
        </w:rPr>
      </w:pPr>
    </w:p>
    <w:p>
      <w:pPr>
        <w:pStyle w:val="2"/>
        <w:jc w:val="both"/>
        <w:rPr>
          <w:rFonts w:hint="eastAsia" w:ascii="方正黑体_GBK" w:eastAsia="方正黑体_GBK"/>
          <w:b w:val="0"/>
          <w:bCs w:val="0"/>
          <w:sz w:val="32"/>
          <w:szCs w:val="32"/>
        </w:rPr>
      </w:pPr>
    </w:p>
    <w:p>
      <w:pPr>
        <w:pStyle w:val="2"/>
        <w:jc w:val="center"/>
        <w:rPr>
          <w:rFonts w:ascii="方正黑体_GBK" w:eastAsia="方正黑体_GBK"/>
          <w:b w:val="0"/>
          <w:bCs w:val="0"/>
          <w:sz w:val="32"/>
          <w:szCs w:val="32"/>
        </w:rPr>
      </w:pPr>
      <w:r>
        <w:rPr>
          <w:rFonts w:hint="eastAsia" w:ascii="方正黑体_GBK" w:eastAsia="方正黑体_GBK"/>
          <w:b w:val="0"/>
          <w:bCs w:val="0"/>
          <w:sz w:val="32"/>
          <w:szCs w:val="32"/>
        </w:rPr>
        <w:t xml:space="preserve">第三章 </w:t>
      </w:r>
      <w:r>
        <w:rPr>
          <w:rFonts w:hint="eastAsia" w:ascii="方正黑体_GBK" w:eastAsia="方正黑体_GBK"/>
          <w:b w:val="0"/>
          <w:bCs w:val="0"/>
          <w:sz w:val="32"/>
          <w:szCs w:val="32"/>
          <w:lang w:val="en-US" w:eastAsia="zh-CN"/>
        </w:rPr>
        <w:t>重点</w:t>
      </w:r>
      <w:r>
        <w:rPr>
          <w:rFonts w:hint="eastAsia" w:ascii="方正黑体_GBK" w:eastAsia="方正黑体_GBK"/>
          <w:b w:val="0"/>
          <w:bCs w:val="0"/>
          <w:sz w:val="32"/>
          <w:szCs w:val="32"/>
        </w:rPr>
        <w:t>任务</w:t>
      </w:r>
      <w:bookmarkEnd w:id="21"/>
    </w:p>
    <w:p>
      <w:pPr>
        <w:pStyle w:val="3"/>
        <w:keepNext/>
        <w:keepLines/>
        <w:pageBreakBefore w:val="0"/>
        <w:widowControl w:val="0"/>
        <w:kinsoku/>
        <w:wordWrap/>
        <w:overflowPunct/>
        <w:topLinePunct w:val="0"/>
        <w:autoSpaceDE/>
        <w:autoSpaceDN/>
        <w:bidi w:val="0"/>
        <w:adjustRightInd/>
        <w:snapToGrid/>
        <w:spacing w:before="0" w:after="0" w:line="587" w:lineRule="exact"/>
        <w:jc w:val="center"/>
        <w:textAlignment w:val="auto"/>
        <w:rPr>
          <w:rFonts w:hint="eastAsia" w:ascii="方正楷体_GBK" w:hAnsi="方正楷体_GBK" w:eastAsia="方正楷体_GBK" w:cs="方正楷体_GBK"/>
          <w:b w:val="0"/>
          <w:bCs w:val="0"/>
          <w:color w:val="FF0000"/>
          <w:kern w:val="2"/>
          <w:sz w:val="32"/>
          <w:szCs w:val="32"/>
          <w:highlight w:val="yellow"/>
          <w:lang w:val="en-US" w:eastAsia="zh-CN" w:bidi="ar-SA"/>
        </w:rPr>
      </w:pPr>
      <w:bookmarkStart w:id="22" w:name="_Toc139881533"/>
      <w:r>
        <w:rPr>
          <w:rFonts w:hint="eastAsia" w:ascii="方正楷体_GBK" w:hAnsi="方正楷体_GBK" w:eastAsia="方正楷体_GBK" w:cs="方正楷体_GBK"/>
          <w:b w:val="0"/>
          <w:bCs w:val="0"/>
          <w:color w:val="FF0000"/>
          <w:kern w:val="2"/>
          <w:sz w:val="32"/>
          <w:szCs w:val="32"/>
          <w:highlight w:val="yellow"/>
          <w:lang w:val="en-US" w:eastAsia="zh-CN" w:bidi="ar-SA"/>
        </w:rPr>
        <w:t>第一节 发展低碳绿色经济，开展碳排放达峰行动</w:t>
      </w:r>
    </w:p>
    <w:p>
      <w:pPr>
        <w:pStyle w:val="3"/>
        <w:keepNext/>
        <w:keepLines/>
        <w:pageBreakBefore w:val="0"/>
        <w:widowControl w:val="0"/>
        <w:kinsoku/>
        <w:wordWrap/>
        <w:overflowPunct/>
        <w:topLinePunct w:val="0"/>
        <w:autoSpaceDE/>
        <w:autoSpaceDN/>
        <w:bidi w:val="0"/>
        <w:adjustRightInd/>
        <w:snapToGrid/>
        <w:spacing w:before="0" w:after="0" w:line="587" w:lineRule="exact"/>
        <w:ind w:firstLine="640" w:firstLineChars="200"/>
        <w:jc w:val="left"/>
        <w:textAlignment w:val="auto"/>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将碳达峰、碳中和目标全面融入全县经济社会发展布局，优化产业绿色转型路径，持续增强经济绿色发展活力，严把“两高”项目准入关口，在践行“两山”理论推动绿色转型上示范引领，加强重点领域温室气体排放控制，着力增强应对气候变化能力，彰显全县低碳绿色发展之美。</w:t>
      </w:r>
    </w:p>
    <w:p>
      <w:pPr>
        <w:pStyle w:val="3"/>
        <w:keepNext/>
        <w:keepLines/>
        <w:pageBreakBefore w:val="0"/>
        <w:widowControl w:val="0"/>
        <w:kinsoku/>
        <w:wordWrap/>
        <w:overflowPunct/>
        <w:topLinePunct w:val="0"/>
        <w:autoSpaceDE/>
        <w:autoSpaceDN/>
        <w:bidi w:val="0"/>
        <w:adjustRightInd/>
        <w:snapToGrid/>
        <w:spacing w:before="0" w:after="0" w:line="587" w:lineRule="exact"/>
        <w:ind w:firstLine="643" w:firstLineChars="200"/>
        <w:jc w:val="left"/>
        <w:textAlignment w:val="auto"/>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一、落实碳排放达峰行动</w:t>
      </w:r>
    </w:p>
    <w:p>
      <w:pPr>
        <w:pStyle w:val="3"/>
        <w:keepNext/>
        <w:keepLines/>
        <w:pageBreakBefore w:val="0"/>
        <w:widowControl w:val="0"/>
        <w:kinsoku/>
        <w:wordWrap/>
        <w:overflowPunct/>
        <w:topLinePunct w:val="0"/>
        <w:autoSpaceDE/>
        <w:autoSpaceDN/>
        <w:bidi w:val="0"/>
        <w:adjustRightInd/>
        <w:snapToGrid/>
        <w:spacing w:before="0" w:after="0" w:line="587" w:lineRule="exact"/>
        <w:ind w:firstLine="0" w:firstLineChars="0"/>
        <w:jc w:val="both"/>
        <w:textAlignment w:val="auto"/>
        <w:rPr>
          <w:rFonts w:hint="eastAsia" w:ascii="方正楷体_GBK" w:eastAsia="方正楷体_GBK"/>
          <w:b w:val="0"/>
          <w:bCs w:val="0"/>
        </w:rPr>
      </w:pPr>
      <w:r>
        <w:rPr>
          <w:rFonts w:hint="eastAsia" w:ascii="Times New Roman" w:hAnsi="Times New Roman" w:eastAsia="方正仿宋_GBK" w:cs="Times New Roman"/>
          <w:b w:val="0"/>
          <w:bCs w:val="0"/>
          <w:color w:val="FF0000"/>
          <w:kern w:val="2"/>
          <w:sz w:val="32"/>
          <w:szCs w:val="32"/>
          <w:highlight w:val="yellow"/>
          <w:lang w:val="en-US" w:eastAsia="zh-CN" w:bidi="ar-SA"/>
        </w:rPr>
        <w:t>实施“碳达峰”行动。将碳排放强度目标任务纳入高质量发展考核和污染防治攻坚战成效考核，实施碳排放总量和强度“双控”。将碳排放评价纳入项目环评和能评，发挥规划环评、能评引领作用，严控新上高耗能、高排放项目。在电力、水泥等重点行业项目环评审批过程中，开展多部门联审试点，推动碳达峰、碳中和要求与环境影响评价有机衔接，充分发挥全县以风电和光伏为代表的新能源产业和港口资源优势。“十四五”期间，推动重点行业、重点企业率先实现碳达峰。</w:t>
      </w:r>
    </w:p>
    <w:p>
      <w:pPr>
        <w:pStyle w:val="3"/>
        <w:keepNext/>
        <w:keepLines/>
        <w:pageBreakBefore w:val="0"/>
        <w:widowControl w:val="0"/>
        <w:kinsoku/>
        <w:wordWrap/>
        <w:overflowPunct/>
        <w:topLinePunct w:val="0"/>
        <w:autoSpaceDE/>
        <w:autoSpaceDN/>
        <w:bidi w:val="0"/>
        <w:adjustRightInd/>
        <w:snapToGrid/>
        <w:spacing w:before="0" w:after="0" w:line="587" w:lineRule="exact"/>
        <w:ind w:firstLine="640" w:firstLineChars="200"/>
        <w:jc w:val="both"/>
        <w:textAlignment w:val="auto"/>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增加生态系统碳汇。实施退化湿地生态修复，加大湿地公园、湿地保护小区建设力度，有序推进沿海防护林树种结构调整和林相改造。着力构建绿色生态廊道，抓好道路林网、水系林网、农田林网建设，稳步增加森林资源总量。不断提升沿海和里下河地区生态系统碳汇能力，着力建设蓝色碳汇生态功能区。</w:t>
      </w:r>
    </w:p>
    <w:p>
      <w:pPr>
        <w:pStyle w:val="3"/>
        <w:keepNext/>
        <w:keepLines/>
        <w:pageBreakBefore w:val="0"/>
        <w:widowControl w:val="0"/>
        <w:kinsoku/>
        <w:wordWrap/>
        <w:overflowPunct/>
        <w:topLinePunct w:val="0"/>
        <w:autoSpaceDE/>
        <w:autoSpaceDN/>
        <w:bidi w:val="0"/>
        <w:adjustRightInd/>
        <w:snapToGrid/>
        <w:spacing w:before="0" w:after="0" w:line="587" w:lineRule="exact"/>
        <w:ind w:firstLine="643" w:firstLineChars="200"/>
        <w:jc w:val="left"/>
        <w:textAlignment w:val="auto"/>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二、积极应对气候变化</w:t>
      </w:r>
    </w:p>
    <w:p>
      <w:pPr>
        <w:pStyle w:val="3"/>
        <w:keepNext/>
        <w:keepLines/>
        <w:pageBreakBefore w:val="0"/>
        <w:widowControl w:val="0"/>
        <w:kinsoku/>
        <w:wordWrap/>
        <w:overflowPunct/>
        <w:topLinePunct w:val="0"/>
        <w:autoSpaceDE/>
        <w:autoSpaceDN/>
        <w:bidi w:val="0"/>
        <w:adjustRightInd/>
        <w:snapToGrid/>
        <w:spacing w:before="0" w:after="0" w:line="587" w:lineRule="exact"/>
        <w:ind w:firstLine="640" w:firstLineChars="200"/>
        <w:jc w:val="both"/>
        <w:textAlignment w:val="auto"/>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控制温室气体排放。控制工业领域排放，综合采取原料替代、生产工艺改善、设备改进等措施减少生产过程温室气体排放。推动重点行业企业开展碳排放对标活动，加强企业碳排放管理体系建设，积极引导企业树立碳资产管理意识，实行企业碳资产开发计划。围绕电力、电子等重点排放行业，推广节能新技术，有效控制工业生产中氧化亚氮、氢氟碳化物等温室气体排放。制定电子信息等行业低碳技术推广实施方案，鼓励开展低碳产品认证。控制农业领域排放，实施农业绿色发展行动，推广农业循环生产方式。选育高产低排放良种，改善水分和肥料管理，推行少耕、免耕、精准作业和高效栽培，控制农田甲烷和氧化亚氮排放。支持利用畜禽粪便为原料发展沼气工程，控制畜禽养殖甲烷和氧化亚氮排放。</w:t>
      </w:r>
    </w:p>
    <w:p>
      <w:pPr>
        <w:pStyle w:val="3"/>
        <w:keepNext/>
        <w:keepLines/>
        <w:pageBreakBefore w:val="0"/>
        <w:widowControl w:val="0"/>
        <w:kinsoku/>
        <w:wordWrap/>
        <w:overflowPunct/>
        <w:topLinePunct w:val="0"/>
        <w:autoSpaceDE/>
        <w:autoSpaceDN/>
        <w:bidi w:val="0"/>
        <w:adjustRightInd/>
        <w:snapToGrid/>
        <w:spacing w:before="0" w:after="0" w:line="587" w:lineRule="exact"/>
        <w:ind w:firstLine="640" w:firstLineChars="200"/>
        <w:jc w:val="both"/>
        <w:textAlignment w:val="auto"/>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应对气候变化。根据江苏省和盐城市适应气候变化的总体要求，结合射阳县自身特点，制定适应气候变化的针对性方案并组织实施。按照全省统一布局建设空气中温室气体浓度监测体系，逐步开展大气温室气体浓度时空分布特征分析，建立温室气体排放信息披露制度，国有企业、上市公司、纳入碳排放权交易市场的企业要率先公布温室气体排放信息和控排行动措施。</w:t>
      </w:r>
    </w:p>
    <w:p>
      <w:pPr>
        <w:ind w:firstLine="643" w:firstLineChars="200"/>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三、打造低碳绿色经济体系</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进生产体系绿色发展。贯彻落实“两山”理论，放大全县生态优势，培育壮大新能源、电子信息、高端纺织及健康四大主导产业，推动发展高端装备制造、通用航空、新材料等特色新兴产业。加快实施纺织、造纸等行业绿色化改造，建材、印染等重点行业清洁生产，推动生态价值转化，在全县范围内形成一批科技含量高、资源消耗低、环境污染少的绿色产业集群。</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持续优化能源结构。坚持节能优先，完善能源消费总量和强度“双控”制度。以环境空气质量改善和二氧化碳控制为导向，完成国家、省、市下达的煤炭消费总量削减目标任务。在工业、交通领域推进“以电代煤”“以电代油”。推进全县热电联产机组供热半径 15 公里范围内燃煤锅炉和落后燃煤机组关停整合。构建现代能源供给体系，加快发展清洁能源和新能源，开展“新能源+储能”“智能微电网”等创新示范项目建设，加快射阳海上风电场、光伏发电等项目建设，重点打造射阳风电名城。着力优化全县加油站布局，鼓励现有加油、加气站点改扩建加氢设施。到2025 年，全县建成陆上风电项目(1200兆瓦)、10个海上风电场区(3800兆瓦)及光伏发电项目(1000兆瓦)。</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转型升级运输结构。推进货物运输绿色转型，全面提高铁路或水路货运比例，实施多式联运提升行动，重点推进集装箱公铁水联运发展，煤炭等大宗货物原则上由水路运输。“十四五”期间，扩建射阳港区3.5万吨级进港航道及配套基础设施建设，满足5万吨级散货船乘潮通航要求，实现沿海港口扩容提升，提高进出港通行能力。加快机动车结构升级，推行“绿色车轮计划”，持续建设新能源公交体系，逐步提升新能源汽车投放比例，提升交通运输绿色发展水平，在城市公交、出租汽车、城市配送等公共服务领域车辆更换时全部使用新能源汽车。加快新能源非道路移动机械推广使用，推动老旧机械淘汰报废，港口、机场新增和更换的作业机械主要采用清洁能源或新能源。加快物流园、产业园、工业园、大型商业购物中心、农贸批发市场等物流集散地集中式充电桩和快速充电桩建设。加大船舶更新升级改造力度，限制使用高排放船舶，推进内河船型标准化，鼓励淘汰20 年以上内河船舶。射阳港新增、更换拖船优先使用清洁能源，新建景区、娱乐场所逐步实现新能源船舶全覆盖。</w:t>
      </w:r>
    </w:p>
    <w:p>
      <w:pPr>
        <w:ind w:firstLine="640" w:firstLineChars="200"/>
        <w:rPr>
          <w:rFonts w:hint="eastAsia" w:ascii="方正楷体_GBK" w:hAnsi="方正楷体_GBK" w:eastAsia="方正楷体_GBK" w:cs="方正楷体_GBK"/>
          <w:b w:val="0"/>
          <w:bCs w:val="0"/>
          <w:color w:val="FF0000"/>
          <w:kern w:val="2"/>
          <w:sz w:val="32"/>
          <w:szCs w:val="32"/>
          <w:highlight w:val="yellow"/>
          <w:lang w:val="en-US" w:eastAsia="zh-CN" w:bidi="ar-SA"/>
        </w:rPr>
      </w:pPr>
      <w:r>
        <w:rPr>
          <w:rFonts w:hint="eastAsia" w:ascii="方正楷体_GBK" w:hAnsi="方正楷体_GBK" w:eastAsia="方正楷体_GBK" w:cs="方正楷体_GBK"/>
          <w:b w:val="0"/>
          <w:bCs w:val="0"/>
          <w:color w:val="FF0000"/>
          <w:kern w:val="2"/>
          <w:sz w:val="32"/>
          <w:szCs w:val="32"/>
          <w:highlight w:val="yellow"/>
          <w:lang w:val="en-US" w:eastAsia="zh-CN" w:bidi="ar-SA"/>
        </w:rPr>
        <w:t>第二节 坚持多污染物协同控制，持续改善环境空气质量</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以PM2.s和 O3协同控制为主线，深化固定源、移动源、面源治理，实施NOx和VOCs协同减排，强化多污染物协同控制和区域大气污染协同治理，优良天数比率进一步提升。</w:t>
      </w:r>
    </w:p>
    <w:p>
      <w:pPr>
        <w:ind w:firstLine="643"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一、推进 PM25和O3浓度“双控双减”</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动环境空气质量持续改善。根据“十四五”期间空气质量改善目标,研究提出环境空气质量持续改善途径,按照前紧后松、持续改善原则，制定实施计划、加强进程管理、实施动态跟进、落实具体项目。落实“点位长”责任制，围绕2个省控站点(盐城市射阳环境监测站、盐城市射阳生态环境局)监测结果达标目标，结合区域气候、主导风向和重点污染源布局，落实各项大气污染防控措施和工程。</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协同防治 PM2.s和 O3污染。统筹考虑PM2.s和O3污染区域传输规律和季节性特征，分类准确建立差异化管控机制，加强重点区域、重点时段、重点领域、重点行业治理，强化分区分时分类差异化精细化协同管控。重点关注以工业涂装、包装印刷、电子信息等为主导产业的园区以及重点企业，加强物料储存、转移和输送环节 VOCs无组织排放控制，按照“应收尽收”原则，收集处置，达标排放。</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实施 NOx与 VOCs 协同减排。开展O3污染防治控制措施效果评估研究，探索适宜的NOx和VOCs 排放比例及制定减排计划,推进燃气锅炉低氮燃烧改造,严禁使用高VOCs含量的油墨、油漆等。明确重点控制区域和重点行业，制定多措并举NOx与 VOCs协同减排策略。细化完善重点行业NOx和VOCs 排放清单。</w:t>
      </w:r>
    </w:p>
    <w:p>
      <w:pPr>
        <w:ind w:firstLine="643" w:firstLineChars="200"/>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二、加大大气污染多源治理力度</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提升重点行业废气治理水平。强化工业污染全过程控制，深化大气污染防治“一企一策”，强化治理设施运行监管。严格控制物料储存、输送及生产工艺过程无组织排放，重点涉气排放企业逐步取缔烟气旁路，因安全生产无法取消的，必须安装在线监管系统。强化电力、水泥行业运行管理，在重污染天气应急期间严格落实管控措施，督促企业加强治理设施管理与维护，确保超低排放稳定达标运行。</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进锅炉、炉窑深度整治。开展燃煤锅炉综合整治“回头看”，加大巡查检查力度，确保生物质锅炉污染治理设施正常运行，加强对用煤大户执法检查，督促其落实煤堆、煤渣等易产生扬尘物料堆场密闭或覆盖管理。全面推行天然气锅炉低氮改造，保障达到安全环保改造条件要求并稳定运行。完成低氮改造的企业可考虑申请列入重污染天气应急管控豁免名单。开展生物质锅炉专项整治，推进工业聚集区内生物质锅炉“拆小并大”，鼓励工业炉窑使用电、天然气等清洁能源或由周边热电厂供热。4蒸吨/小时以上生物质锅炉安装烟气在线监测设施,并与生态环境部门联网。制定工业炉窑综合整治实施方案，加快淘汰中小型煤气发生炉。鼓励工业炉窑使用电、天然气等清洁能源或由周边热电厂供热，实现有组织排放全面达标、无组织排放有效管控。</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大力推进重点行业VOCs治理。全面执行各类涂料、胶粘剂、清洗剂等产品有害物质含量限值强制性国家标准。加强源头替代和削减，以减少苯、甲苯、二甲苯等溶剂和助剂使用为重点，全面推广使用低VOCs含量涂料、油墨、胶粘剂、清洗剂。“十四五”期间，全县重点推进家具制造、铸造行业深度治理，并对 VOCs 治理重点项目进行“回头看”。</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强化车船油路港联合管控。加快机动车结构升级，强化机动车监管，推行“绿色车轮计划”，积极淘汰国IⅢI及以下排放标准柴油环卫车及柴油货车。城市建成区新增和更新公交车辆基本采用新能源或清洁能源汽车。积极开展打击和取缔黑加油站点、流动加油车(船)和不符合要求企业自备油罐及装置(设施)专项行动，溯源查处劣质油品存储销售集散地及生产加工企业。推进出台优惠措施鼓励夜间加油、装卸油。强化油品储运销监管，打击非法经营柴油行为，6-9月每月至少对加油站点、流动加油罐车、加油船舶开展一次专项检查，取缔无证无照经营的黑加油站(车、船)。开展船舶用油现场抽检，检查船舶燃油硫含量及燃油使用量等信息。对向船舶供油的船舶加油站油品抽测率不低于50%。“十四五”期间，完成储油罐油气回收在线监控建设，对新增年销售汽油量大于5000吨的加油站安装油气回收自动监控设备，并与生态环境部门联网。汽油年销售量大于5000吨的重点加油站(包括水上服务区、移动供油船)应安装在线监控系统，确保油气回收在线监控系统正常运行。</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进扬尘精细化管控。严格施工扬尘监管，进一步完善施工公司管理清单。督促建设单位和施工单位落实施工工地扬尘管控责任，将施工工地扬尘治理与施工企业资质评价、信用评价等挂钩，渣土车运输必须实施全封闭运输，推进建成区全面使用新型环保智能渣土车，严格施工工地和渣土运输监管，推进智慧工地建设，按照“八达标、两承诺、一公示”要求加大工地监管力度。渣土弃置场、建成区所有裸露地面采取覆盖、绿化、硬化等方式，除必要施工作业外，确保全县施工工地无裸土。严格执行《建筑工地扬尘防治标准》和《盐城市扬尘污染防治管理条例》，做到“六不开工”和“六个100%”，安装在线监测和视频监控设备，落实遮盖、洒水、围挡等抑尘措施。到2025年，拆迁工地洒水或喷淋措施执行率达到100%，扬尘污染控制区达100%，各类施工工地扬尘污染控制达标率达到95%以上。</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全面推进生活源治理。落实餐饮油烟年度治理计划，持续开展餐饮油烟整治专项行动，督促餐饮服务在操作间安装高效油烟净化设施，并做好清洗维护工作，确保设施正常运行。“十四五”期间，对全县重点管控区域内面积100平方米以上餐饮店(无油烟排放餐饮店除外)和烧烤店安装在线监控。禁止露天焚烧沥青、油毡、橡胶、塑料、垃圾、皮革等产生有毒有害、恶臭气体的物质，禁止在城市建成区露天焚烧落叶。推进烟花爆竹污染防治，严格落实《关于印发射阳县城区禁(限)放烟花爆竹工作实施意见的通知》“十四五”期间，合德镇选择1个餐饮聚集街区开展试点，根据区域主要餐饮类型,推广集中式餐饮企业集约化管理，采用安装独立净化设施、配套统一处理设施、建设公共烟道等方式，推广高标准油烟净化设备。</w:t>
      </w:r>
    </w:p>
    <w:p>
      <w:pPr>
        <w:ind w:firstLine="643" w:firstLineChars="200"/>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三、加强其他涉气污染物治理</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探索推动大气中氨排放控制。加强养殖业大气氨排放治理，推行种养一体化管理，提高畜禽养殖废气治理管理水平，推进畜禽粪便生物处理技术，建设氨排放净化装置。推进种植业大气氨排放控制，优化肥料品种，推广非铵态氮肥、缓释型肥料、水溶肥料。改进施肥方式，强化氮肥深施，推广机械施肥技术、水肥一体化技术。</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强化恶臭气体及非常规废气污染物管控。鼓励开展园区和重点企业恶臭监测。基于现有烟气污染物治理装备，强化工业烟气中非常规污染物强效脱除，严格执行相关排放标准，倒逼企业进行治理。加强生物质锅炉燃料品质管控，禁止使用劣质燃料或掺烧垃圾、工业固废。</w:t>
      </w:r>
    </w:p>
    <w:p>
      <w:pPr>
        <w:ind w:firstLine="643" w:firstLineChars="200"/>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四、加强联防联控和污染应对</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深化跨区域大气污染协同治理。加强区域协同监管、重污染天气联合应对和重大活动空气质量保障。建立全县大气污染联防联控机制，根据省、市发布的大气环境污染形势研判和预警，统一启动重污染天气应急管控，统一监管执法、统一考核评估与奖惩，实施重污染天气应急联动响应。</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提升重污染天气应对能力。全面落实国家和省、市下达的春夏季、秋冬季空气质量改善目标，优化预警流程，实现“分级预警，及时响应”。严格按照《重污染天气重点行业应急减排措施制定技术指南》《江苏省重污染天气应急预案》《盐城市重污染天气应急预案》有关要求进一步细化提升应急响应措施，开展绩效分级，评定豁免企业，实施差异化管控。</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方正楷体_GBK" w:hAnsi="方正楷体_GBK" w:eastAsia="方正楷体_GBK" w:cs="方正楷体_GBK"/>
          <w:b w:val="0"/>
          <w:bCs w:val="0"/>
          <w:color w:val="FF0000"/>
          <w:kern w:val="2"/>
          <w:sz w:val="32"/>
          <w:szCs w:val="32"/>
          <w:highlight w:val="yellow"/>
          <w:lang w:val="en-US" w:eastAsia="zh-CN" w:bidi="ar-SA"/>
        </w:rPr>
        <w:t>第三节 做好“五篇”水文章，提高水生态环境质量</w:t>
      </w:r>
    </w:p>
    <w:p>
      <w:pPr>
        <w:ind w:firstLine="640" w:firstLineChars="200"/>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坚持污染减排和生态扩容两手发力，统筹水环境治理、水资源利用、水生态恢复，努力“保好水、治差水”，持续推进水污染防治攻坚行动，彰显全县良好水乡生态环境，绘就生态美丽射阳画卷。</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一、综合治理水环境</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深化工业水污染防治。开展江苏射阳经济开发区和江苏射阳港经济开发区2个省级工业园区污水收集系统、污水处理设施整治专项行动，完成园区内企业清污分流、雨污分流改造，基本消除污水直排口和管网空白区,开展工业园区水平衡核算管理工作。推动 500 吨以上排水规模企业在污水集中处理设施进水口、出水口安装水量、水质自动监控设备及配套设施。全面推行重点行业企业工业废水“分类收集、分质处理”。“十四五”期间，新建兴桥工业园工业污水处理厂(1万吨/日)，对射阳县港净环保科技有限公司污水处理厂和射阳县中大污水处理公司实施一级A提标改造。根据《江苏省工业园区(集中区)污染物排放限值限量管理工作方案(试行)》要求，2021年在江苏射阳经济开发区、江苏射阳港经济开发区开展限值限量管理，并逐步推进污染物排放限值限量监测监控系统建设项目。2022年全面推进市级及以下工业园区污染物排放限值限量管理，根据管理成效对县乡级工业集中区分类提出优化整合提升措施。</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城镇水污染治理。完善城镇污水收集体系，开展城镇区域主要水污染物有效收集处理情况摸排评估,重点推进污水收集管网及相关配套设施建设。全县城镇和农村实现永久性污泥处理处置或资源化利用设施全覆盖，无害化处理处置率达到100%。“十四五”期间，对千秋镇、海通镇、兴桥镇、长荡镇、盘湾镇、特庸镇、黄沙港镇、四明镇、海河镇、新坍镇、洋马镇等11个建制镇污水处理设施进行“全运行”修复提升工程，新建临海镇1座城镇生活污水处理厂(0.2 万吨/日)，在县城新建一座生活污水处理厂(5万吨/日)，扩建洋马镇益净污水厂(扩建总规模 0.2万吨/日 )。在污水处理厂排污口下游等关键节点全部建设人工湿地水质净化工程等生态措施(新建污水处理厂必须配套建设)，与污水处理厂共同发挥作用。结合海绵城市建设，因地制宜开展初期雨水截留纳管、初期雨水处理设施建设，推动雨水收集和资源化利用。</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开展移动源污染防治。加强船舶生活污水处理设备改造，建立并实施船舶污染物接收、转运、处置联单制度。到2025年，全县内河港口、码头、船舶修造厂全部建成船舶含油污水、化学品洗舱水、生活污水和垃圾等污染物的接收设施并实施安全处置。建立健全船舶污染物接收、转运、处置监管制度，鼓励配备VITS系统，加强内河船舶污染控制。</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深化黑臭水体治理。在全面核查黑臭水体底数基础上，采取控源截污、垃圾清理、清淤疏浚、活水循环、生态修复等措施，加大黑臭河段和支流清理整治，确保全县所有城市(县城)黑臭水体全部完成疏浚。摸清农村黑臭水体数量、名称、地理位置、污染成因和治理范围，编制有针对性的“一河一策”农村黑臭水体综合治理方案，推进农村黑臭水体治理工作，加快农村生态河道建设、村庄河塘整治。健全长效管理机制，防止水体“返黑返臭”。</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水环境综合治理。围绕水生态环境质量改善目标，全面推行“河长制”“断面长制”。进一步完善水污染防治协调议事机构，统筹开展水生态环境保护工作，强化与上游区域联防联控，协同治理。“十四五”期间，全面开展3个国考、2个省考以及17个市考断面所在重点河流综合治理，持续削减化学需氧量、氨氮、总氮、总磷等主要污染物排放总量，确保水环境质量只能更好、不能变坏。针对汛期水质滑坡明显断面，“一断面一策”编制汛期防范应对方案，积极发挥监测预警作用，在确保防洪排涝安全前提下,强化汛期劣质水环境管控,防范汛期水环境恶化，进一步提升全县水环境质量。</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二、合理利用水资源</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优化水资源保障格局。对于新改扩建水利工程，要按照水利等相关部门审批文件规定严格落实生态流量泄放条件。对于已建水利工程不满足生态流量泄放要求的，应根据条件，经科学论证后改进调度或增设必要泄放设施。严管控制性工程下泄流量，将影响考核断面流量(水量、水位)及其过程的闸坝、取水口等纳入调度考虑对象，在保障生态流量泄放前提下，有关工程管理单位执行有关调度指令。对于因过量取水对河湖生态造成严重影响，导致生态流量未达到目标要求的，采取限制取水、加大水量下泄等措施，促进水网“毛细血管”畅通。“十四五”期间，新、拆建战备河南、团结大沟、黄海大沟、淮海南闸站4座，预计增加排涝流量40 立方米/秒，整治河道10条、总长102.3公里，全面建成供排有序、合理配置水资源保障体系。</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严控全县用水总量。细化制定用水总量控制指标，完善重点监控用水单位名录。加强相关规划、工业园区和项目布局水资源论证。从严审批取水许可，对纳入取水许可管理的单位和其他用水大户实行计划用水管理。</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完善水资源节约利用体系。抓好工业节水，推动企业转型升级，实施企业节水技术改造，支持企业开展节水技术改造和废水“近零排放”改造。“十四五”期间，新建射阳港电厂2x100万千瓦扩建项目中水回用系统，年中水回用量不低于800 万立方米。深化节水型社会和节水型城市建设，打造一批节水型企业、单位和社区。“十四五”期间，全县完成70个企业、单位、机关、学校、社区等节水型载体建设，基本建成节水型社会。推进农业高效节水，对王开、跃中、陈洋、花园4个中型灌区进行提档升级，对全县境内唯一大型灌区五岸灌区进行现代化改造,提高沿线镇区灌溉用水保障能力。完善再生水循环利用体系，加快海绵城市建设，加大非常规水源利用力度，明确全县再生水处理设施建设规模和分区布局。建设建筑中水应用示范工程，推进高速公路服务区污水处理和再生水利用，提高纺织、印染等产业再生水使用比例，减少新鲜水取用量。</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三、加快恢复水生态</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开展河流水生态调查及评估。定期开展射阳河等主要河流水生态状况摸底调查及评估，完成水生态环境安全和健康评估。持续开展生物多样性本底调查，调查掌握鱼类、底栖生物、浮游生物和水生植物状况。到2023年，开展利民河、运棉河咨询服务巡查和生态专项整治。</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高标准推进生态廊道建设。开展河道岸线环境整治，因地制宜对已有硬质驳岸实施生态化改造，恢复和增强城市水体自净功能。加强河道沿岸绿化和滨水空间规划建设，因地制宜划定缓冲带区域，推动河湖缓冲带生态保护修复。到2022 年，对洋沙河等6条主要流入新洋港支河进行河道生态修复。</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四、加强保障水安全</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提升饮用水安全保障水平。推进饮用水水源地规范化建设，定期开展水源地环境状况调查评估，全面排查和整治水源保护区内违法违规问题，针对可能影响水源地环境安全的污染源全面进行整治，持续提升2个县级及以上饮用水水源地规范化建设水平。根据《关于开展集中式饮用水水源地规范化管理工作的通知》要求，自2022 年起，每年组织开展县级及以上饮用水水源地管理与保护自评估工作,每年2月前将自评估报告和基本信息报送至上级部门，同步开展应急备用水源地评估工作。加强饮用水安全全过程监管，开展从水源水到龙头水全过程监管，构建“水源达标、应急备用、深度处理、预警检测”城市供水安全保障体系，确保饮用水安全。供水单位定期监测、检测和评估本区域内饮用水水源、供水厂出水、用户水龙头水质等饮水安全状况，每季度向社会公开。严格确保饮用水供水安全，构建布局合理、水源可靠、水质优良的供水安全保障体系。加强饮用水水源地应急防范，推进集中式地表水饮用水水源地突发环境事件应急预案编制，确保实现全覆盖和动态更新。加强应急物资日常管理，保障应急物资安全，开展应急水源地应急启用的调试和演练，保障应急用水需求。</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五、大力弘扬水文化</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全力推进水文化教育。把水情教育、水文化建设与生态文明建设紧密结合起来，汲取水文化中蕴含的生态文化内涵和生态文明成果，牢固树立节约资源、保护环境理念，推动水文化传承和发展。讲好历史和当代治水故事,展示射阳水环境治理与变化史，激发并提升全社会共同参与治理水环境、保护水生态、节约水资源意识与热情。</w:t>
      </w:r>
    </w:p>
    <w:p>
      <w:pPr>
        <w:pStyle w:val="5"/>
        <w:rPr>
          <w:rFonts w:hint="eastAsia" w:ascii="方正楷体_GBK" w:hAnsi="方正楷体_GBK" w:eastAsia="方正楷体_GBK" w:cs="方正楷体_GBK"/>
          <w:b w:val="0"/>
          <w:bCs w:val="0"/>
          <w:color w:val="FF0000"/>
          <w:kern w:val="2"/>
          <w:sz w:val="32"/>
          <w:szCs w:val="32"/>
          <w:highlight w:val="yellow"/>
          <w:lang w:val="en-US" w:eastAsia="zh-CN" w:bidi="ar-SA"/>
        </w:rPr>
      </w:pPr>
      <w:r>
        <w:rPr>
          <w:rFonts w:hint="eastAsia" w:ascii="方正楷体_GBK" w:hAnsi="方正楷体_GBK" w:eastAsia="方正楷体_GBK" w:cs="方正楷体_GBK"/>
          <w:b w:val="0"/>
          <w:bCs w:val="0"/>
          <w:color w:val="FF0000"/>
          <w:kern w:val="2"/>
          <w:sz w:val="32"/>
          <w:szCs w:val="32"/>
          <w:highlight w:val="yellow"/>
          <w:lang w:val="en-US" w:eastAsia="zh-CN" w:bidi="ar-SA"/>
        </w:rPr>
        <w:t>第四节 坚持海陆协同治理，改善海洋生态环境质量</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坚持陆海统筹、河海联动、系统治理，建立监管执法机制，推动全县近岸海域生态环境质量持续改善，加强海洋环境风险防范，提升公众亲海获得感和幸福感。</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一、全面改善海洋环境质量</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深化陆源入海污染治理。持续实施《射阳县湾(滩)长制实施方案》，按照“陆海统筹、分区治理，防治结合、分类指导，综合治理、协同推进，上下联动、合力治污”原则，保障全县近岸海域水质稳定达标。重点加强对新洋港、黄沙港、射阳河等主要入海河流水质环境监测和监管，有效控制陆源污染源，开展达标整治，优先实施污染防治和水生态修复等相关工程项目，推动全县入海河流地表水质稳定达标。持续开展入海排污口监测溯源整治，建立健全“近岸水体-入海排污口-排污管线-污染源”全链条治理体系，按照“一口一策”原则，系统开展入海排污口溯源整治工作。摸清各类排口分布情况、排放特征、责任主体等，整治非法、设置不合理的排口，清理废弃排口。建立“权责清晰、监控到位、管理规范”入海排污口监管体系。到2025年，完成入海排污口整治工作。</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海上污染分类整治。开展近岸海域水产养殖污染防治，调整水产养殖结构和布局，积极推行生态养殖模式。加强海水养殖污染防治，优化海水养殖空间和海洋渔业生产布局，依法依规做好海水养殖新改扩建项目审批。加强射阳港港口、码头水环境整治，建立健全船舶污染物接收、转运、处置监管制度，加强射阳港港口、码头等绿色岸电、环卫设施和污水处理设施建设。到2025 年，射阳港港口及射阳县黄沙港等渔港全部落实“一港一策”污染防治措施。</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进海洋垃圾治理。加强入海河流径流输入源头控制，探索在入海河流闸门上游安全距离范围内设置阻拦设施,减少垃圾入海量。定期清理入海河流河岸带草木垃圾，根据海域保洁面积配备足量清污保洁设备和人员，及时做好海洋垃圾分类收集和清理工作。</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二、推进海洋生态保护修复</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开展海洋生物多样性调查与保护。分区分片开展全县近岸海域渔业资源调查、鱼类“三场一通道”(产卵场、索饵场、越冬场和洄游通道)情况调查、海域生物多样性调查工作，重点关注标志性物种及栖息地。在重点海域实施海洋生物多样性长期监测监控，建立健全海洋生物多样性监测评估网络体系。加大海洋生物多样性保护力度，切实做好“三场一通道”保护。</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开展海洋生态修复工程。积极开展海岸线治理与修复，组织对自然景观受损严重、生态功能退化、防灾能力减弱，以及利用效率偏低的海岸线进行整治修复，推动海上风电等用海项目生态补偿协议高标准实施。开展退化岸线人工生态修复，对受侵蚀岸线海堤进行维护建设，对人工岸线进行生态化改造。开展湿地修复，对非法养殖区开展退养还湿。逐步建立海洋生态修复监管、成效评估制度，实施海洋生态修复工程项目分类管理和成效评估机制。到2025年，全县海洋生态修复监管、成效评估体系初步形成。</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三、合理开发利用海洋资源</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落实海洋渔业资源总量管理。推动渔船双控和海洋渔业资源总量管理，严厉打击“绝户网”等非法捕捞行为。严格海洋休渔期禁捕管理,落实分级分区管理制度,探索渔业资源管理新模式，实施渔业资源增殖放流，以保障近岸海域海洋生物资源为重点，全面开展河口、近海渔业资源增殖养护恢复，在重要水生生物产卵场、孵育场等敏感生态系统持续开展渔业资源增值放流。</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加快公众亲海空间建设。加快射阳海港、风情渔港和城镇联合开发，推动“产业基地+旅游资源”融合发展，大力拓展海洋旅游。塑造生态绿色品牌，彰显江苏射阳旅游特色。</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四、加强海洋环境风险防范</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提升海洋环境风险防控应急水平。加强重点港区污染事故应急体系、近岸海域环境预警体系和海上溢油及危险化学品环境污染风险防范体系建设，建立健全海上溢油、危险化学品泄漏、放射性污染、海洋生态灾害等的应急响应机制。加强应急设备、船舶和人员配置，开展事故现场应急监测、污染处理和事后环境影响评估工作，提高应对突发性海洋环境污染事故能力。</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五、提高海洋环境保护能力</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健全湾长制运行机制。强化日常督促和监管,定期开展湾(滩)长制执行情况巡查和督查反馈，把湾(滩)长制打造成实现党委政府“海洋大环保”重要抓手，推进湾(滩)长制规范化、标准化建设，形成“以海定陆、以陆护海、网格协同、信息保障”湾(滩)长制工作模式。</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海洋环境监管执法。强化海上风电场建设、港口岸线开发等海洋(海岸)工程污染防治，加强海洋(海岸)工程建设项目常态化监管，大力采用现代化技术手段提升智能化监管水平，推进相关企业加强监测能力建设，开展海水水质跟踪监测。加强近岸海域环境保护监督执法能力建设，加大对陆源入海污染源、入海河流断面及近岸海域环境状况陆海联合执法检查力度，推动建立交通运输、自然资源和规划、农业农村、射阳海警站、生态环境等多部门合作以及相邻地区有效联动的海上联合监管执法机制。</w:t>
      </w:r>
    </w:p>
    <w:p>
      <w:pPr>
        <w:pStyle w:val="5"/>
        <w:rPr>
          <w:rFonts w:hint="eastAsia" w:ascii="方正楷体_GBK" w:hAnsi="方正楷体_GBK" w:eastAsia="方正楷体_GBK" w:cs="方正楷体_GBK"/>
          <w:b w:val="0"/>
          <w:bCs w:val="0"/>
          <w:color w:val="FF0000"/>
          <w:kern w:val="2"/>
          <w:sz w:val="32"/>
          <w:szCs w:val="32"/>
          <w:highlight w:val="yellow"/>
          <w:lang w:val="en-US" w:eastAsia="zh-CN" w:bidi="ar-SA"/>
        </w:rPr>
      </w:pPr>
      <w:r>
        <w:rPr>
          <w:rFonts w:hint="eastAsia" w:ascii="方正楷体_GBK" w:hAnsi="方正楷体_GBK" w:eastAsia="方正楷体_GBK" w:cs="方正楷体_GBK"/>
          <w:b w:val="0"/>
          <w:bCs w:val="0"/>
          <w:color w:val="FF0000"/>
          <w:kern w:val="2"/>
          <w:sz w:val="32"/>
          <w:szCs w:val="32"/>
          <w:highlight w:val="yellow"/>
          <w:lang w:val="en-US" w:eastAsia="zh-CN" w:bidi="ar-SA"/>
        </w:rPr>
        <w:t>第五节 加强管控和安全利用，强化土壤和农村环境保护</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坚持预防为主、保护优先、风险防控，严控土壤污染风险。强化土壤和地下水污染系统防控和风险管控,提升土壤安全利用水平。强化农村面源及农村环境治理，切实保障人民群众“吃得放心、住得安心”。</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一、加强土壤和地下水污染系统防控</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持续开展土壤和地下水状况调查与评估。在国家重点行业企业用地调查基础上，深入开展土壤污染状况调查和风险评估，强化成果应用。启动全县地下水环境状况调查评估，开展工业集聚区、危险废物处置场、垃圾填埋场等地下水状况调查评估，摸清地下水环境风险及其对周边环境的潜在风险。</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防范新增土壤污染。加强规划布局论证，新建项目或园区开展环境影响评价及回顾性评估时，必须同步开展土壤和地下水污染状况评价，严禁在优先保护类耕地集中区域新建有色金属冶炼、焦化、电镀、制革等行业企业。根据重点行业企业用地土壤污染状况调查结果，实施重点单位全生命周期监管。土壤污染重点监管单位要因地制宜实施管道化、密闭化改造、重点场所防腐防渗改造及物料、污水、废气管线架空建设和改造，从源头上消除土壤污染。定期对土壤污染重点监管单位和地下水重点污染源周边土壤、地下水开展监督性监测。到2025年底，土壤污染重点监管单位排污许可证应当全部载明土壤污染防治义务，至少完成1次土壤和地下水污染隐患排查。</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开展地下水污染防治分区工作。建立地下水污染防治分区划分体系，划定地下水污染保护区、防控区及治理区。同时提出地下水污染分区防治措施，实施地下水污染源分类监管。</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二、推进土壤安全利用</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巩固提升农用地分类管理和安全利用。建立优先保护类耕地保护措施清单，加大耕地保护力度，将符合条件的优先保护类耕地划为基本农田，依法实行严格保护。实行耕地土壤环境质量动态管理。</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强化建设用地准入和再开发利用。落实相关重点行业有关防腐蚀、防泄漏设施和泄漏监测装置设计、建设和安装要求，鼓励土壤污染重点监管单位因地制宜实施管道化、密闭化改造。坚持“预防为主、保护优先、风险管控”原则，加快推进重点行业用地污染调查。推广绿色修复理念，强化风险管控和修复工程监管，重点防范转运污染土壤非法处置，以及农药类等污染地块风险管控和修复过程中产生异味等二次污染。加快实施重点领域场地调查修复，重点关注县内关停转迁化工企业遗留地块等。对有土壤污染风险以及用途变更为住宅、公共管理与公共服务用地的建设用地地块，应开展土壤污染风险管控和修复的，及时纳入“双随机、一公开”信息库，规范开展日常执法检查。</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有序推进土壤污染治理修复。按照“谁污染、谁治理”“谁损害、谁赔偿”原则，从严落实企业治理土壤污染主体责任。对列入建设用地土壤污染风险管控和修复名录地块，强化风险管控和修复工程监管，重点防范转运污染土壤非法处置，以及农药类等污染地块风险管控和修复过程中产生异味等二次污染。加快实施重点领域场地调查修复，重点关注李为华创业园整治，以及原江苏丰源生物化工有限公司、江苏德发树脂有限公司、原射阳县氟源化工有限公司等企业地块修复。对“十三五”期间全县已查明的污染地块，每年制定风险管控计划，采取移除或者清理污染源、污染隔离阻断等风险管控措施，严防污染扩散。在确保污染地块风险可控前提下，积极实施管控修复，实行建设用地土壤污染风险管控及修复名录退出机制。持续开展土壤和地下水环境监测与调查，深入推进土壤污染源头防控。严格落实农用地分类管理和安全利用，推进在产企业土壤环境预防与风险管控，强化建设用地全生命周期环境管理，加强地下水环境保护与监管，提高土壤环境现代化管理能力。</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三、提升重金属污染防治水平</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实施重金属污染总量控制。从严把控涉重金属项目准入关口，新、改、扩建重金属重点行业建设项目必须有明确具体的重金属污染物排放总量来源，遵循“减量置换”或“等量替换”原则。</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重金属污染综合治理。进一步完善涉重金属重点行业企业清单，持续开展重金属重点行业企业排查，规范重金属重点行业建设项目环境准入，严把重金属污染防治关。强化有色金属行业、铅蓄电池制造业企业环保执法监管，依法依规坚决淘汰超限值排放重金属的项目和企业。推动涉重点重金属重点行业生产工艺设备提升改造、提标改造和深度治理。</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四、强化农业面源及农村环境治理</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有效防控种植业污染。推进测土配方施肥与土壤改良工程，推广清洁种植与循环农业生产模式，加快实施农药减施工程，开展农作物病虫专业化统防统治与绿色防控融合推进试点建设。建立督查巡查和跨区域联动控制工作机制，做好夏秋两季秸秆禁烧工作。“十四五”期间，全县农作物秸秆离田综合利用能力每年提高 5%以上，到2025年，全县秸秆综合利用率达99%。</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畜禽养殖污染治理。根据《射阳县畜禽养殖污染防治规划(2020-2025)》，优化畜禽养殖产业结构。推进畜禽粪便综合利用，鼓励利用畜禽粪便为原料发展沼气工程，并结合种植业生产需求对沼渣沼液等附加产品进行利用。“十四五”期间，在全县范围内建设畜禽粪污集中处理中心或有机肥加工厂,提升畜禽粪污集中处置能力，对畜禽养殖户已有化粪池及堆积池进行“三防”措施改造。</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进水产养殖绿色发展。深化渔业结构战略性调整，科学划定禁限养区、合理布局水产养殖生产、调整优化产业结构、创新养殖模式、强化渔业资源与水环境修复，形成生态、循环、低碳、高效的现代渔业。积极组织开展养殖功能区养殖容量调查研究，科学规划、合理调整养殖生产布局。积极推广人工配合饲料，逐步减少冰鲜杂鱼饲料使用。严格养殖投入品管理，依法规范、限制使用抗生素等化学药品,鼓励采用生态养殖技术和水产养殖病害防治技术，推广低毒、低残留药物的使用。积极推广水产养殖用水循环利用工程，推广养殖尾水达标排放技术，有效控制水产养殖业污染。“十四五”期间，实施国省考断面水产养殖整治工程，对规模化水产品养殖场所设置尾水净化设施，建设水产养殖尾水净化区。</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提升农村生活污水处理能力。在原有《射阳县村庄生活污水治理专项规划(2020-2025)》基础上，进一步完善村庄生活污水治理规划，确定尾水排放标准,加大农村生活污水收集处理力度，统筹推进生活污水处理设施及配套管网建设，对已建成农村生活污水治理设施运行情况进行“回头看”。到2025年底，全县自然村和农户生活污水治理覆盖率提升至80%以上。</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深入开展美丽乡村建设行动。持续改善乡村环境质量，因地制宜推进农村改厕、生活垃圾处理和污水治理，进一步强化道路公共空间、水体公共空间等公共空间整治。持续加大乡村基础设施投入，进一步完善水电、路网、燃气、通信、物流等基础设施，健全运营管护长效机制。到2025 年，实现生活垃圾分类试点全覆盖,废旧农膜和农药包装废弃物回收处置率分别达99%和90%以上，建成具有省、市级特色田园乡村15个。实施农村河道疏浚整治，“十四五”期间，对全县29 条县级河道、355条乡级河道实施河道疏浚、岸坡整治、绿化植被、河道管护等综合整治措施。</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方正楷体_GBK" w:hAnsi="方正楷体_GBK" w:eastAsia="方正楷体_GBK" w:cs="方正楷体_GBK"/>
          <w:b w:val="0"/>
          <w:bCs w:val="0"/>
          <w:color w:val="FF0000"/>
          <w:kern w:val="2"/>
          <w:sz w:val="32"/>
          <w:szCs w:val="32"/>
          <w:highlight w:val="yellow"/>
          <w:lang w:val="en-US" w:eastAsia="zh-CN" w:bidi="ar-SA"/>
        </w:rPr>
        <w:t>第六节 加强生态空间保护，维护生态系统服务功能</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坚持绿水青山就是金山银山，打造“两山”实践基地。强化生态保护监管，推进山水林田湖草系统治理，实施生物多样性保护重大工程，维护生态系统服务功能，守住自然生态安全边界，促进人与自然和谐共生。</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一、推进山水林田湖草生态保护与修复</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生态修复与保护。系统性推进县域山水林田湖草生态保护与修复，织密织牢生态保护安全网，确保资源高效永续利用，加快开展珍禽自然保护区滩涂侵蚀生态修复。实施河道水系连通畅流、河道护岸生态化改造等自然生态修举措施。“十四五”期间，开展射阳海岸带生态保护修复项目，拟通过整治修复侵蚀海岸线和滨海湿地，打造生态减灾协同增效的海岸带立体防护体系。对射阳港已清退出的退渔还湿区域进行生态修复，以自然修复为主，分区分类开展受损自然生态系统修复，同时提高湿地及自然保护地科技监测技术手段试点运用。</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推进林地建设和保护。切实加强林业建设，因地制宜启动一批森林生态建设工程，推进沿海生态防护林体系建设，完善海岸线骨干林带，深入开展植树造林。</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进生态安全缓冲区建设。坚持系统化思维，以自然生态保护和修复为核心，以小流域和小区域为单元，因地制宜考虑城乡发展本底和自然生态环境现状，先行打造生态安全缓冲区示范工程，加快推进射阳河等重点河道生态修复试点和生态安全缓冲区试点。</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二、加强生物多样性保护</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夯实生物多样性保护基础。全面加强保护管理体系、资源监测体系、科学研究体系建设。恢复射阳河沿线及重要支流汇水区等生态系统。以“国际生物多样性日”为契机，开展生物多样性联动宣传活动，不断提升全社会生物多样性保护和自然生态保护意识。</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大生物多样性保护力度。健全生物多样性保护体系，在射阳县生物多样性本底调查工作经验基础上，积极开展生物资源动态监测，实施生物多样性保护行动计划，拯救丹顶鹤、白头鹤、白鹤等一级重点保护野生动物。</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三、加强生物安全管理与防控</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外来物种管控。“十四五”期间，持续开展自然生态系统外来入侵物种调查、监测和预警，及时更新全县外来入侵物种名录。实施外来有害生物防治工程，在全县组织开展加拿大一枝黄花、互花米草等外来入侵物种铲除和防治活动，确保自然资源生态系统资源安全、环境安全和生态安全。建立防御、早期监测及预警体系，建立快速反应与快速信息共享体系，严格外来物种引进风险评估，完善动植物隔离检疫设施。</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强化生物安全风险管控。健全生物安全管理和应急处置机制，加强生物技术环境安全监管，建立健全生物技术环境风险评价、检测、监测、预警和安全控制体系。组织、指导和督促相关企业事业单位制定生物安全事件应急预案，加强应急准备、人员培训和应急演练，开展生物安全事件应急处置、应急救援和事后恢复等工作。依法开展生物安全监督检查工作，加强生物安全宣传教育，提高公众意识和参与程度。</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四、强化生态系统保护监督管理</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严格落实管控约束机制。开展生态保护红线和自然保护地勘界定标并建立矢量数据库，在重要地段、重要部位设立界标和标识牌。深入实施重点生态功能区战略，严格落实生态保护红线、环境质量底线、资源利用上线和生态环境准入清单“三线一单”制度。对不符合单元管控要求的生产生活布局，及时作出优化调整，确保管控单元各项约束指标落地落实。加快建设“三线一单”数据应用平台，推动完善生态环境大数据，为各项规划编制、项目准入提供科学预判依据。到2025年，全县生态保护红线面积不减少，受保护地占国土面积比例达到25.65%以上。</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健全常态化执法机制。持续开展“绿盾”行动等执法督查，不定期开展多部门联合执法行动，对已完成清理整治问题开展“回头看”，严肃查处涉生态空间保护区域、自然保护地的各类违法违规活动，推动问题整改到位。</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方正楷体_GBK" w:hAnsi="方正楷体_GBK" w:eastAsia="方正楷体_GBK" w:cs="方正楷体_GBK"/>
          <w:b w:val="0"/>
          <w:bCs w:val="0"/>
          <w:color w:val="FF0000"/>
          <w:kern w:val="2"/>
          <w:sz w:val="32"/>
          <w:szCs w:val="32"/>
          <w:highlight w:val="yellow"/>
          <w:lang w:val="en-US" w:eastAsia="zh-CN" w:bidi="ar-SA"/>
        </w:rPr>
        <w:t>第七节 强化风险系统防控，严守生态环境安全底线</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坚定不移贯彻安全发展理念,紧盯危险废物、环境治理设施、辐射等重点行业领域，强化风险预警防控与应急响应，保障公众环境健康与安全。</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一、强化源头风险防控与应急</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环境风险源头防控。常态化推进环境风险企业突发生态环境事件风险隐患排查，实施环境风险差异化动态管理。严格控制新增风险，强化区域开发和项目建设环境风险评价，对涉及有毒有害化学品、重金属和新污染物的项目，实行严格的环境准入把关。</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环境应急响应体系建设。完善突发环境事件应急预案和应急响应体系，以排放重金属、危险废物、持久性有机污染物和生产使用重点环境管理危险化学品的污染源为重点，建立健全环境重点风险源清单。加强全县环境风险预警系统建设。继续深化重大环境风险企业环境安全达标建设。督促全县重大环境风险企业在已经编制完成的环境风险评估工作基础上，完成环境安全达标改造。</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强化基层生态环境应急管理。实施企业环境应急预案电子化备案，实现涉危涉重企业电子化备案全覆盖。到2025 年，通过添置应急监测车等应急采样设备，全面完成全县突发事件应急防范体系建设目标，提升应急监测支援效能。</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重视新污染物治理。开展新污染物筛查、评估与环境监测，进行重点行业重点化学物质生产使用信息调查和环境危害评估。加强纺织印染、橡胶、医药等行业新污染物环境风险管控。</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二、推进固废危废处置水平</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动工业固体废物减量化资源化。实施工业绿色生产，逐步实现大宗工业固体废物贮存总量、处置总量趋零增长，全面摸底调查和整治工业固体废物堆存场所,逐步减少历史遗留固体废物贮存总量、处置总量。对产废企业开展清洁生产审核，推广应用先进成熟的清洁生产技术工艺。</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危险废物全面安全管控。全面开展危险废物排查，对属性不明的固体废物进行鉴别鉴定,重点整治危险化学品单位等可能存在的违规堆存、随意倾倒、私自填埋危险废物等问题，确保危险废物贮存、运输、处置安全。组织企业开展物料平衡、废平衡核算，全县涉危废企业完成废平衡核算工作并报备。严密监管危险废物的全生命周期，全面排查产生、贮存、转移、利用和处置危险废物企业存在的各类环境隐患，建立问题清单，督促企业落实整改措施，严格开展“整改销号”，确保危险废物安全处置率 100%。强化危废贮存场所规范管理，会同有关部门针对贮存场所手续不全等问题进行会商,研究制定相关管理办法，按照“登记一批、整治一批、关停一批”要求，对手续不全的危废贮存场所进行分类处理。</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补齐医疗废物处置短板。完善医疗废物收集转运处置体系并覆盖农村地区，到2025年，医疗废弃物无害化处置率稳定保持100%。加强医疗废物分类管理，做好源头分类，促进规范处置。高度重视医疗污水监管，进一步会同有关部门加强医疗污水收集、污染治理设施运行、污染物排放等监督管理。</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农业废弃物回收处置利用。加强秸秆禁烧工作，实现以禁促用，鼓励秸秆机械化还田和离田收储利用，进一步完善农作物秸秆收储运体系。提升废旧农膜及农药包装废弃物再利用水平，推广应用标准地膜。推进畜禽粪污就近就地综合利用，推动建立畜禽养殖废弃物收集、转化和利用网络体系，进一步提升畜禽粪污资源化利用效率。到2025年,全县畜禽粪污资源化率达100%。</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动生活垃圾源头减量和资源化利用。加强白色污染治理，实施“减塑”行动。持续完善“组保洁、村收集、镇转运、县处理”城乡垃圾收运处理体系，积极推进生活垃圾“分类投放、分类收集、分类运输、分类处理”工作，合理配套建设垃圾处理设施，到2025年全县镇以上生活垃圾分类收集实现全覆盖。推广生活垃圾可回收物利用等资源化利用方式，合理布局建设建筑垃圾转运调配、消纳处置和资源化利用设施，形成与城市发展需求相匹配的建筑垃圾处理体系。加强生活垃圾焚烧、餐厨垃圾处理、建筑垃圾资源化利用等终端处理设施运行管理。</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三、提升核与辐射安全水平</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防范核与辐射安全风险。开展核与辐射安全风险隐患排查，落实废旧放射源定期排查制度，强化动态管理，及时消除隐患。严管医疗使用I类放射源、移动伽马射线探伤等高风险领域，全面实施高风险移动放射源在线监控。到2025年，确保县内辐射工作单位辐射安全许可、环评文件审批、放射性同位素转让审批、放射性同位素转移备案及回收备案率 100%。</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健全核与辐射事故应急体系。加强应急指挥机制建设，培养“专常兼备、反应灵敏、作风过硬、本领高强”的辐射应急队伍，完善全县辐射事故应急预案，配齐应急装备，开展实战化应急演练，全面提升应急响应能力。</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四、完善安全生产治理体系</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全面推进安全生产专项整治三年行动。紧盯“两个不放松”和“务必整出成效”总要求，有机衔接、统筹推进“一年小灶”和“三年大灶”，抓紧抓实“1+2+10”三年行动专项整治，全力推动安全生产各项任务落细落实落效，不断提升全县安全生产治理能力和治理水平，全面启动安全发展示范城市创建。</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环境治理设施安全监管。全面摸清六类环境治理设施基本情况，建立健全环境治理设施基础档案，精准开展专项整治行动。开展安全风险辨识管控，健全企业内部污染防治设施稳定运行和管理责任制度。将六类环境治理设施纳入安全监管范围，推进企业安全生产标准化体系建设。</w:t>
      </w:r>
    </w:p>
    <w:p>
      <w:pPr>
        <w:pStyle w:val="5"/>
        <w:rPr>
          <w:rFonts w:hint="eastAsia" w:ascii="方正楷体_GBK" w:hAnsi="方正楷体_GBK" w:eastAsia="方正楷体_GBK" w:cs="方正楷体_GBK"/>
          <w:b w:val="0"/>
          <w:bCs w:val="0"/>
          <w:color w:val="FF0000"/>
          <w:kern w:val="2"/>
          <w:sz w:val="32"/>
          <w:szCs w:val="32"/>
          <w:highlight w:val="yellow"/>
          <w:lang w:val="en-US" w:eastAsia="zh-CN" w:bidi="ar-SA"/>
        </w:rPr>
      </w:pPr>
      <w:r>
        <w:rPr>
          <w:rFonts w:hint="eastAsia" w:ascii="方正楷体_GBK" w:hAnsi="方正楷体_GBK" w:eastAsia="方正楷体_GBK" w:cs="方正楷体_GBK"/>
          <w:b w:val="0"/>
          <w:bCs w:val="0"/>
          <w:color w:val="FF0000"/>
          <w:kern w:val="2"/>
          <w:sz w:val="32"/>
          <w:szCs w:val="32"/>
          <w:highlight w:val="yellow"/>
          <w:lang w:val="en-US" w:eastAsia="zh-CN" w:bidi="ar-SA"/>
        </w:rPr>
        <w:t>第八节 创新体制机制，推进环境治理体系和治理能力现代化</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切实履行生态环境法规政策标准，落实各类主体责任，实施生态环境保护经济政策，优化生态环境治理监管服务，推进环境治理体系和治理能力现代化。</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一、落实生态环境治理责任</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健全领导责任体系。及时更新生态环境保护责任清单，探索研究生态环境保护工作尽职免责条款，细化责任清单履职过程中职责边界，逐步开展生态环境保护责任履职状况年度评估。强化</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生态环境考核指标在领导干部履职实绩考核中的权重。全面实施生态环境损害责任追究制度,并探索在重点工业园区、镇区试点。逐步实施党政领导干部自然资源资产离任审计，全县范围自上而下逐步试点推进，并将审计结果作为生态环境损害责任追究重要依据。全面推行保护生态受益、破坏环境受害赔偿的奖惩机制，深化生态环境损害赔偿制度改革。</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压实企业主体责任。积极引导企业主体开展自我评估试点和全过程规范化建设，指导企业制订环境管理清单，优先在印染、造纸等行业试点，推进排污企业安装使用在线监测监控设备并主动联网，以园区范围或行业集群为单位实施统一的在线监测监控设备第三方运维。落实生产者责任延伸制度，引导生产企业建立逆向物流回收体系。加强对企业知法、懂法、守法宣传教育工作，将普法宣传与行政许可、监管执法等有机结合，在生态环境监管执法过程中落实“谁执法、谁普法”。</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二、优化生态环境监测体系</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生态环境监测监控能力建设。推动监测站实验室标准化、执法监测标准化、应急监测标准化、核与辐射监测标准化等四项重点工作。到2023年，对照《全国环境监测站建设标准》《环境监测站标准化建设达标验收方法》等文件要求，围绕执法监测、应急监测、污染源监测等方面加强建设，提升盐城市射阳环境监测站监测能力。到2022年，在江苏射阳经济开发区、射阳港经济开发区、盐城市纺织染整产业园建设完成周界6个空气质量自动监测站、4个水质自动监测站、园区污水处理厂进出水口安装在线监测设备、排放口安装流量计和自控阀门，实现限量排放和自动截污。</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建设“天地空”一体化监测网络。建设涵盖大气、温室气体、地表水及水(环境)功能区、土壤、地下水、海洋、辐射等要素环境质量监测网络。加密自动监测站点布设，实现重点区域、重要水域监测点位全覆盖，实现国考、省考、市考监测点位水质自动监测全覆盖。统筹构建污染源监控网络，建立健全以排污许可证制度为核心的固定源监测体系，加快江苏射阳经济开发区等重点工业园区VOCs等特征污染物监控网络建设。加快完善覆盖乡镇工业企业污水排放口、农村生活污水处理设施进出水、畜禽规模养殖场排污口、水产养殖集中区养殖尾水等农业农村面源污染监测体系。完善重点监管企业和工业园区周边土壤和地下水监测监控网络。完善生态保护空间监测体系，开展生态环境状况和人类活动实时监测，全面掌握生态保护空间生态系统构成、分布与动态变化，及时评估和预警生态风险。到2022 年，在利民河、运棉河、谭洋河、运粮河、八丈河、奤套河新增10座水质自动监测站，在射阳河口新建1座海洋水质自动站。到2025年，对全县 23 条省级主干河道设立综合水质动态监测点。“十四五”期间，全县共布设2个环境空气省控站点、5个省考及以上地表水监测断面、15个近岸海域国考监测点位、14个土壤环境监测网点位。</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健全监测监控管理体系。健全统一领导、部门协同、社会参与、公众监督的组织管理体系，加快构建统一规范、运转高效的生态环境监测监控制度体系，在网络规划、机构管理、队伍建设、业务运行、质量监管、数据应用、信息发布等各个方面实现管理制度全覆盖。加强对排污单位和生态环境监测机构监督管理，实施生态环境监测信用管理，定期开展生态环境监测质量监督检查专项行动，确保监测数据“真、准、全”。</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三、加强生态环境执法监管</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健全生态环境执法体系。加快推进县级生态环境综合行政执法改革全面到位，全面理清生态环境综合执法局“垂改”后人员现状和编制情况，逐步解决“在编不在岗”问题。加强人才队伍建设,重点充实基层生态环境执法力量。建立健全区域协作机制，推行跨区域跨流域环境污染联防联控,加强联合执法、交叉执法、异地执法。健全全县生态环境综合执法机构，下沉落实网格化环境监管体系，逐步实现市级以上工业园区以及重点镇执法监管“全覆盖”，建立覆盖全域网格化环境执法监管体系。</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创新环保执法监管手段。持续推进“互联网+执法”“双随机、一公开”“线上+线下”等制度，探索不见面执法新模式，研究制定“大数据+执法”工作方案，从排污单位排污数据、工业企业用电数据、生态环境质量数据的异常监测变化情况入手，分析潜在或正在发生的生态环境违法违规行为，提前预警、及时预判、适时报警，利用大数据技术代替传统人工摸排手段，提升生态环境监管执法预见性、精准性、有效性。</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规范生态环境执法工作。落实生态环境执法“543”工作法，厘清日常执法、专项执法、专案执法、执行监督和计划外执法等五种执法任务，细化执法准备、现场执法、处理处罚和执行落实四个关键环节，严格落实行政执法公示、执法全过程记录、重大执法决定法制审核三项执法制度，强化事前公开、事后公开，规范事中公示，实现执法全过程留痕和可回溯管理。完善环境执法与司法联动机制，提升执法监管装备水平。提升执法监管装备水平。在执法任务较重、涉及范围较广、面临问题较复杂地区，购置大型高清执法航拍无人机、执法无人船、辐射执法防护设备、便携式气体分析仪、水质监测仪等执法设备，按照全县突发环境事件应急预案要求扩充县应急物资库物资储备，确保执法监管装备水平与现场执法需求相匹配。</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四、健全生态环境经济政策</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行实施排污权交易。推动排污权交易与排污许可证核发延续、环境影响评价文件审批、生态环境监管执法及主要大气、水污染物总量减排之间衔接融合、形成合力。严格排污许可证审批，及时依法依规审批排污许可证，确保应发尽发，做到“全覆盖”。推动环境影响评价、排污许可、监管执法全闭环管理，促进排污许可与环境执法、环境监测、总量控制、排污权交易等环境管理制度有机衔接，建立“一证式”管理体系，落实排污许可证常态化执法检查，严厉打击无证排污、不按证排污等各类排污许可违法行为。</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创新绿色金融政策。加强环境风险监控，将危废收集、贮存、处置利用企业及印染等环境风险高、环境污染事件较为集中行业企业纳入投保范围。将企业投保情况与环保信用评价、金融机构信贷支持等方面挂钩。加大财政支持力度，对符合条件的投保企业，按一定比例给予补贴。鼓励保险机构发挥在环境风险防范方面的积极作用，对企业开展“环保体检”。</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落实价格财税政策。实施差别化价格政策，到2025 年底前，对实行两部制电价的污水处理企业用电、电动汽车集中式充换电设施用电、港口岸电运营商用电、海水淡化用电，免收需量(容量)电费。完善生态环保财税政策，建立“政府补贴+第三方治理+税收优惠”联动机制，大力推进环境保护税征管能力和配套建设，积极引入第三方专业服务，提升环境保护税申报、核定的规范等有关税收优惠政策，积极落实环境保护专用设备企业所得税和第三方治理企业所得税优惠。</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五、健全环境治理信用体系</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强化生态环境信用监管。强化环保信用管理制度落实，扩大信用监督市场主体范围，将污染源日常监管单位、纳入排污许可管理单位以及产生环境行为信息有关单位，有序纳入企事业环保信用评价范围，积极推进排污单位应纳尽纳。根据不同环保信用等级采取差异化监管措施，将“双随机、一公开”监管与信用等级相结合，对绿色等级企事业单位，合理降低抽查频次，执行管控豁免政策，对环保信用等级为蓝色等级企事业单位，按常规频次抽查，对环保信用等级为黄色、红色和黑色等级企事业单位，加大随机抽查密度，依法依规实施严管和惩戒。</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行“环保脸谱”体系应用。做好宣贯工作，指导帮助企业从统一入口登录各业务系统开展数据核实更新和材料上报等工作。做好企业“环保脸谱”系统后台管理，及时整理系统中已关闭、停产、迁出、注销等企业信息，按照“一企一档”销户规则制定拟销户企业清单。充分发挥“大数据+网格化+铁脚板”工作机制，积极运用企业“环保脸谱”开展非现场监管工作，有效提升执法监管精准性。</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六、提升服务高质量发展水平</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加强生态环保第三方管理。强化生态环境咨询机构检查，深化环境影响评价文件编制质量监管，重点加强环评文件规范性检性和准确性。认真落实节能减排、资源综合利用和环境保护查和日常编制质量检查，并定期对在射阳环评单位开展编制单位及编制人员情况检查，积极探索加强本区域内环评编制单位质量监管工作，检查及技术复核工作中及时依法依规开展惩戒问责。进一步规范生态环境监测领域第三方机构服务行为和排污单位自行监测工作。加强社会监测机构监管，开展定期联合现场监督检查和不定期随机抽查，维护监测权威、确保数据质量，依法依规查处惩戒违法违规行为，检查抽查结果及时向社会公开。引导各类资本参与环境治理与服务投资、建设、运行。</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行环境污染第三方治理。在明确排污单位污染治理主体责任和第三方治理责任基础上，坚持政策激励和约束机制并重，鼓励第三方治理单位提供包括环境污染问题诊断、污染治理方案编制、污染物排放监测、环境污染治理设施建设、运营及维护等环境综合服务。</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动服务高质量发展。强化“三线一单”与空间规划衔接，加强“三线一单”在规划编制、执法监管等方面应用。健全以环评制度为主体源头预防体系，落实相关行业环评审批原则和准入条件。落实产业准入负面清单，坚决遏制“两高”项目盲目发展。对高耗能高排放项目集中、环境承载力超负荷镇区，实行建设项目(除重大民生项目)重点污染物排放减量置换，实施更加严格排污许可要求,推动低端落后产能淘汰。推进生态产品价值实现，开展生态产品基础信息调查，建立生态产品清单。推进生态产品价值核算结果在政府决策和绩效考核评价中应用。</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方正楷体_GBK" w:hAnsi="方正楷体_GBK" w:eastAsia="方正楷体_GBK" w:cs="方正楷体_GBK"/>
          <w:b w:val="0"/>
          <w:bCs w:val="0"/>
          <w:color w:val="FF0000"/>
          <w:kern w:val="2"/>
          <w:sz w:val="32"/>
          <w:szCs w:val="32"/>
          <w:highlight w:val="yellow"/>
          <w:lang w:val="en-US" w:eastAsia="zh-CN" w:bidi="ar-SA"/>
        </w:rPr>
        <w:t>第九节 构建全民行动体系，推动形成绿色生活方式</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大力宣传习近平生态文明思想，倡导简约适度、绿色低碳生活方式，以绿色生活促进人与自然和谐共生，形成全民动员、人人参与，形成文明健康的生活风尚。</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一、开展生态文明示范创建</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扎实开展绿色创建。统筹开展“节约型机关”“绿色家庭”“绿色学校”“绿色社区”等重点领域创建行动，塑造一批绿色生活典型。</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推进生态文明示范创建。深化生态文明建设示范创建，到2022 年，全县生态文明建设取得显著成效，以创建国家生态文明建设示范区为目标，以创建省、市生态文明示范区为特色。到2025 年，努力建设成为真正“强富美高”大美鹤乡福地。</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二、推广绿色低碳生活方式</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促进绿色产品消费。加大政府绿色采购力度，扩大绿色产品采购范围，逐步将绿色采购制度扩展至全县国有企业。到2025年，政府采购绿色产品比例达到80%以上。加强对企业和居民采购绿色产品引导,鼓励采取补贴、积分奖励等方式促进绿色消费，严格限制一次性用品、餐具使用，鼓励公众相互监督、践行“光盘行动”。</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倡导绿色出行。推行《公民生态环境行为规范(试行)》，开展《江苏生态文明20条》主题宣传活动、“无车日”等特色活动，引导公众采用步行、骑行、公共交通等出行方式，支持发展共享交通。到2025年，全县绿色出行比例达到70%。</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推动绿色建筑发展。实施“绿色建筑+”工程，促进装配式建筑、BIM、智慧建筑等技术与绿色建筑等深度融合，城镇新建民用建筑全面执行绿色建筑标准，使用国有资金投资或者国有融资的大型公共建筑，按照二星级以上绿色建筑标准进行建设，推动既有建筑开展节能改造，加强技术创新和集成应用，推动可再生能源建筑应用，积极引导超低能耗建筑建设。到2025 年，城镇新建民用建筑中绿色建筑比例达到100%。</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营造宁静生活环境。加强建筑物隔声性能要求，强化夜间施工管理。开展城市交通干线等交通运输噪声污染防控。加强对文化娱乐、商业经营中社会生活噪声热点问题日常监管和集中治理。</w:t>
      </w:r>
    </w:p>
    <w:p>
      <w:pPr>
        <w:pStyle w:val="5"/>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三、推进生态环境保护全民行动</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切实加强生态文明教育。大力宣传贯彻习近平生态文明思想，主动设置议题，创新宣传方式方法，在内容、体裁、渠道等方面增强针对性、精准度，充分发挥新媒体优势，构建新闻宣传和舆论引导新格局。组织生态文明建设方面专家，开展党政领导干部培训讲座。引导基础好、有条件、有意愿的社区、学校、企业、环境基础设施建设单位等定期向社会开放。</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大力丰富生态文化建设。开展生态文化体系研究，着力推动生态文化理论研究、实践应用与社会传播。加大生态文化产品创作宣传力度，引导公众自觉履行环境保护责任。激发全社会生态文化创新活力和创造潜能，推进生态文化与教育、科技、艺术、旅游等多领域融合发展。</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着力打造生态旅游示范区。依托生态优势、环境优势，整合县域重要旅游资源，构建融合区域的旅游路线，打造富有本土特色的旅游精品项目。以日月岛康养旅游度假区为龙头，大力发展生态旅游、乡村旅游,全力打造长三角地区生态休闲旅游目的地。“十四五”期间，全县成功创建1家国家级旅游度假区和国家级生态旅游示范区。</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强化社会舆论监督。加强环境守护者队伍规范管理，创新生态环境保护全民参与模式。完善公众监督和举报反馈机制，充分发挥“12369”环保举报热线作用，畅通环保监督渠道。推广环境信访对话制度，促进利益相关方对话协商，有效化解环境矛盾和纠纷。加强舆论监督,鼓励新闻媒体对各类破坏生态环境问题、突发环境事件、环境违法行为进行曝光。</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发挥各类社会团体作用。鼓励工会、共青团、妇联等群团组织各行其职，积极动员广大职工、青年、妇女参与环境治理。全县各个行业协会、商会要发挥桥梁纽带作用，各个行业领军企业尤其是国有企业带头促进行业自律。加强对社会组织管理和指导，积极推进能力建设，大力发挥生态环保志愿者作用，政府积极培养组织志愿者活动。规范公众参与流程，引导公众参与环境法规和政策制定、环境决策、环境监督等重点领域。</w:t>
      </w:r>
    </w:p>
    <w:p>
      <w:pPr>
        <w:pStyle w:val="2"/>
        <w:jc w:val="center"/>
        <w:rPr>
          <w:rFonts w:hint="eastAsia" w:ascii="方正黑体_GBK" w:eastAsia="方正黑体_GBK"/>
          <w:b w:val="0"/>
          <w:bCs w:val="0"/>
          <w:sz w:val="32"/>
          <w:szCs w:val="32"/>
          <w:lang w:val="en-US" w:eastAsia="zh-CN"/>
        </w:rPr>
      </w:pPr>
      <w:r>
        <w:rPr>
          <w:rFonts w:hint="eastAsia" w:ascii="方正黑体_GBK" w:eastAsia="方正黑体_GBK"/>
          <w:b w:val="0"/>
          <w:bCs w:val="0"/>
          <w:sz w:val="32"/>
          <w:szCs w:val="32"/>
          <w:lang w:val="en-US" w:eastAsia="zh-CN"/>
        </w:rPr>
        <w:t>第四章保障措施</w:t>
      </w:r>
    </w:p>
    <w:p>
      <w:pPr>
        <w:pStyle w:val="5"/>
        <w:ind w:left="0" w:leftChars="0" w:firstLine="0" w:firstLineChars="0"/>
        <w:jc w:val="center"/>
        <w:rPr>
          <w:rFonts w:hint="eastAsia" w:ascii="方正楷体_GBK" w:hAnsi="方正楷体_GBK" w:eastAsia="方正楷体_GBK" w:cs="方正楷体_GBK"/>
          <w:b w:val="0"/>
          <w:bCs w:val="0"/>
          <w:color w:val="FF0000"/>
          <w:kern w:val="2"/>
          <w:sz w:val="32"/>
          <w:szCs w:val="32"/>
          <w:highlight w:val="yellow"/>
          <w:lang w:val="en-US" w:eastAsia="zh-CN" w:bidi="ar-SA"/>
        </w:rPr>
      </w:pPr>
      <w:r>
        <w:rPr>
          <w:rFonts w:hint="eastAsia" w:ascii="方正楷体_GBK" w:hAnsi="方正楷体_GBK" w:eastAsia="方正楷体_GBK" w:cs="方正楷体_GBK"/>
          <w:b w:val="0"/>
          <w:bCs w:val="0"/>
          <w:color w:val="FF0000"/>
          <w:kern w:val="2"/>
          <w:sz w:val="32"/>
          <w:szCs w:val="32"/>
          <w:highlight w:val="yellow"/>
          <w:lang w:val="en-US" w:eastAsia="zh-CN" w:bidi="ar-SA"/>
        </w:rPr>
        <w:t>第一节 完善规划统一体系</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坚持党总揽全局、协调各方领导核心作用，把党的领导始终贯穿“十四五”生态环境保护规划组织实施各领域、全过程。建立县级部门推进本规划分工协作机制，增强各部门间沟通协调，明确职责分工，统筹推进重大政策、重大改革举措、重大工程和项目落地。加强规划统筹管理和衔接协调，形成以县级“十四五”生态环境保护规划为统领、专项规划为支撑，定位清晰、统一衔接的生态环境保护规划体系。加强规划上下衔接,构建纵向衔接、横向协调的规划衔接机制，确保规划要求指向一致、空间配置相互协调、时序安排科学有序。</w:t>
      </w:r>
    </w:p>
    <w:p>
      <w:pPr>
        <w:pStyle w:val="5"/>
        <w:ind w:left="0" w:leftChars="0" w:firstLine="0" w:firstLineChars="0"/>
        <w:jc w:val="center"/>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第二节 强化规划评估督导</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落实各项重点任务与工程，对各部门年度目标和任务完成情况进行考核，考核结果纳入领导班子和领导干部实绩考核评价和奖惩任免重要依据。在2025年，对本规划执行情况进行终期评估，评估结果向社会公布。畅通公众意见反馈渠道，健全举报、听证、舆论监督等制度，充分发挥社会民众和新闻媒体等社会力量监督作用，建立规划实施公众反馈和监督机制。</w:t>
      </w:r>
    </w:p>
    <w:p>
      <w:pPr>
        <w:pStyle w:val="5"/>
        <w:ind w:left="0" w:leftChars="0" w:firstLine="0" w:firstLineChars="0"/>
        <w:jc w:val="center"/>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第三节 加大资金投入力度</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把生态环境保护列入公共财政支出重点领域，加大本级财政资金投入力度，增强基层生态环境保护基本公共服务保障能力，逐步建立常态化、稳定的财政资金投入机制，强化资金支持与重点建设任务需求相适应。完善多元化环保投融资机制，规范支持政府和社会资本合作项目参与环境保护与生态建设。引导国有资本加大对污染防治投入，充分利用生态环保发展基金，发挥好政府投资基金引导作用。采用直接投资、投资补助、运营补贴等方式，引导社会资本进入生态环境保护领域,推进污染治理市场化。</w:t>
      </w:r>
    </w:p>
    <w:p>
      <w:pPr>
        <w:pStyle w:val="5"/>
        <w:ind w:left="0" w:leftChars="0" w:firstLine="0" w:firstLineChars="0"/>
        <w:jc w:val="center"/>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第四节 打造生态环保铁军</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坚持人才是第一资源，系统规划人才队伍，重点加强高层次产业人才引进和培养，围绕“人才链”构建“服务链”，优化人才发展环境，打造创新创业人才高地，构建人才引领生态环境高质量发展新优势。系统规划全县生态环境保护人才队伍建设，加强应对气候变化、土壤、海洋、固废和化学品环境管理等领域以及水利、自然资源和规划、农业农村等部门生态环境保护队伍力量。大力推进生态环境保护队伍年轻化、专业化和高层次化建设，推动建设“政治强、本领高、作风硬、敢担当、特别能吃苦、特别能战斗、特别能奉献”高素质生态环境保护铁军。创新开展业务培训、比赛竞赛、经验交流等技能培训方式，不断提高铁军业务本领。</w:t>
      </w:r>
    </w:p>
    <w:p>
      <w:pPr>
        <w:pStyle w:val="5"/>
        <w:ind w:left="0" w:leftChars="0" w:firstLine="0" w:firstLineChars="0"/>
        <w:jc w:val="center"/>
        <w:rPr>
          <w:rFonts w:hint="eastAsia" w:ascii="Times New Roman" w:hAnsi="Times New Roman" w:eastAsia="方正仿宋_GBK" w:cs="Times New Roman"/>
          <w:b/>
          <w:bCs/>
          <w:color w:val="FF0000"/>
          <w:kern w:val="2"/>
          <w:sz w:val="32"/>
          <w:szCs w:val="32"/>
          <w:highlight w:val="yellow"/>
          <w:lang w:val="en-US" w:eastAsia="zh-CN" w:bidi="ar-SA"/>
        </w:rPr>
      </w:pPr>
      <w:r>
        <w:rPr>
          <w:rFonts w:hint="eastAsia" w:ascii="Times New Roman" w:hAnsi="Times New Roman" w:eastAsia="方正仿宋_GBK" w:cs="Times New Roman"/>
          <w:b/>
          <w:bCs/>
          <w:color w:val="FF0000"/>
          <w:kern w:val="2"/>
          <w:sz w:val="32"/>
          <w:szCs w:val="32"/>
          <w:highlight w:val="yellow"/>
          <w:lang w:val="en-US" w:eastAsia="zh-CN" w:bidi="ar-SA"/>
        </w:rPr>
        <w:t>第五节 提升科技支撑能力</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r>
        <w:rPr>
          <w:rFonts w:hint="eastAsia" w:ascii="Times New Roman" w:hAnsi="Times New Roman" w:eastAsia="方正仿宋_GBK" w:cs="Times New Roman"/>
          <w:b w:val="0"/>
          <w:bCs w:val="0"/>
          <w:color w:val="FF0000"/>
          <w:kern w:val="2"/>
          <w:sz w:val="32"/>
          <w:szCs w:val="32"/>
          <w:highlight w:val="yellow"/>
          <w:lang w:val="en-US" w:eastAsia="zh-CN" w:bidi="ar-SA"/>
        </w:rPr>
        <w:t>深入开展生态环境保护重点领域科技攻关，推广应用先进适用技术。通过书刊、报纸、网络等媒体，加强信息公开。开展污染治理及生态修复关键技术攻关，加强关键技术，为科学治污提供坚实科技支撑。鼓励自主创新，加快污染防治新技术、新材料、新模式成果落地和推广运用。开展联合技术攻关，整合各方科技资源，创新科技服务模式，促进科研成果转化。</w:t>
      </w:r>
    </w:p>
    <w:p>
      <w:pPr>
        <w:pStyle w:val="5"/>
        <w:rPr>
          <w:rFonts w:hint="eastAsia" w:ascii="Times New Roman" w:hAnsi="Times New Roman" w:eastAsia="方正仿宋_GBK" w:cs="Times New Roman"/>
          <w:b w:val="0"/>
          <w:bCs w:val="0"/>
          <w:color w:val="FF0000"/>
          <w:kern w:val="2"/>
          <w:sz w:val="32"/>
          <w:szCs w:val="32"/>
          <w:highlight w:val="yellow"/>
          <w:lang w:val="en-US" w:eastAsia="zh-CN" w:bidi="ar-SA"/>
        </w:rPr>
      </w:pPr>
    </w:p>
    <w:bookmarkEnd w:id="22"/>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ectPr>
          <w:type w:val="continuous"/>
          <w:pgSz w:w="11906" w:h="16838"/>
          <w:pgMar w:top="1440" w:right="1800" w:bottom="1440" w:left="1800" w:header="851" w:footer="992" w:gutter="0"/>
          <w:cols w:space="425" w:num="1"/>
          <w:docGrid w:type="lines" w:linePitch="312" w:charSpace="0"/>
        </w:sectPr>
      </w:pPr>
    </w:p>
    <w:p>
      <w:pPr>
        <w:rPr>
          <w:rFonts w:hint="eastAsia" w:eastAsia="方正仿宋_GBK"/>
          <w:sz w:val="32"/>
          <w:szCs w:val="21"/>
        </w:rPr>
      </w:pPr>
      <w:r>
        <w:drawing>
          <wp:anchor distT="0" distB="0" distL="114300" distR="114300" simplePos="0" relativeHeight="251660288" behindDoc="1" locked="0" layoutInCell="1" allowOverlap="1">
            <wp:simplePos x="0" y="0"/>
            <wp:positionH relativeFrom="column">
              <wp:posOffset>-19050</wp:posOffset>
            </wp:positionH>
            <wp:positionV relativeFrom="paragraph">
              <wp:posOffset>39370</wp:posOffset>
            </wp:positionV>
            <wp:extent cx="8945880" cy="5553075"/>
            <wp:effectExtent l="0" t="0" r="7620" b="9525"/>
            <wp:wrapNone/>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1"/>
                    <a:stretch>
                      <a:fillRect/>
                    </a:stretch>
                  </pic:blipFill>
                  <pic:spPr>
                    <a:xfrm>
                      <a:off x="0" y="0"/>
                      <a:ext cx="8945880" cy="5553075"/>
                    </a:xfrm>
                    <a:prstGeom prst="rect">
                      <a:avLst/>
                    </a:prstGeom>
                    <a:noFill/>
                    <a:ln>
                      <a:noFill/>
                    </a:ln>
                  </pic:spPr>
                </pic:pic>
              </a:graphicData>
            </a:graphic>
          </wp:anchor>
        </w:drawing>
      </w: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r>
        <w:drawing>
          <wp:anchor distT="0" distB="0" distL="114300" distR="114300" simplePos="0" relativeHeight="251660288" behindDoc="1" locked="0" layoutInCell="1" allowOverlap="1">
            <wp:simplePos x="0" y="0"/>
            <wp:positionH relativeFrom="column">
              <wp:posOffset>-114300</wp:posOffset>
            </wp:positionH>
            <wp:positionV relativeFrom="paragraph">
              <wp:posOffset>-174625</wp:posOffset>
            </wp:positionV>
            <wp:extent cx="8887460" cy="5702300"/>
            <wp:effectExtent l="0" t="0" r="8890" b="12700"/>
            <wp:wrapNone/>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8887460" cy="5702300"/>
                    </a:xfrm>
                    <a:prstGeom prst="rect">
                      <a:avLst/>
                    </a:prstGeom>
                    <a:noFill/>
                    <a:ln>
                      <a:noFill/>
                    </a:ln>
                  </pic:spPr>
                </pic:pic>
              </a:graphicData>
            </a:graphic>
          </wp:anchor>
        </w:drawing>
      </w: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r>
        <w:drawing>
          <wp:anchor distT="0" distB="0" distL="114300" distR="114300" simplePos="0" relativeHeight="251660288" behindDoc="1" locked="0" layoutInCell="1" allowOverlap="1">
            <wp:simplePos x="0" y="0"/>
            <wp:positionH relativeFrom="column">
              <wp:posOffset>-7620</wp:posOffset>
            </wp:positionH>
            <wp:positionV relativeFrom="paragraph">
              <wp:posOffset>-78105</wp:posOffset>
            </wp:positionV>
            <wp:extent cx="8860790" cy="5610860"/>
            <wp:effectExtent l="0" t="0" r="16510" b="889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8860790" cy="5610860"/>
                    </a:xfrm>
                    <a:prstGeom prst="rect">
                      <a:avLst/>
                    </a:prstGeom>
                    <a:noFill/>
                    <a:ln>
                      <a:noFill/>
                    </a:ln>
                  </pic:spPr>
                </pic:pic>
              </a:graphicData>
            </a:graphic>
          </wp:anchor>
        </w:drawing>
      </w: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r>
        <w:drawing>
          <wp:anchor distT="0" distB="0" distL="114300" distR="114300" simplePos="0" relativeHeight="251660288" behindDoc="1" locked="0" layoutInCell="1" allowOverlap="1">
            <wp:simplePos x="0" y="0"/>
            <wp:positionH relativeFrom="column">
              <wp:posOffset>-71755</wp:posOffset>
            </wp:positionH>
            <wp:positionV relativeFrom="paragraph">
              <wp:posOffset>-73660</wp:posOffset>
            </wp:positionV>
            <wp:extent cx="8934450" cy="5463540"/>
            <wp:effectExtent l="0" t="0" r="0" b="3810"/>
            <wp:wrapNone/>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a:stretch>
                      <a:fillRect/>
                    </a:stretch>
                  </pic:blipFill>
                  <pic:spPr>
                    <a:xfrm>
                      <a:off x="0" y="0"/>
                      <a:ext cx="8934450" cy="5463540"/>
                    </a:xfrm>
                    <a:prstGeom prst="rect">
                      <a:avLst/>
                    </a:prstGeom>
                    <a:noFill/>
                    <a:ln>
                      <a:noFill/>
                    </a:ln>
                  </pic:spPr>
                </pic:pic>
              </a:graphicData>
            </a:graphic>
          </wp:anchor>
        </w:drawing>
      </w: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r>
        <w:drawing>
          <wp:anchor distT="0" distB="0" distL="114300" distR="114300" simplePos="0" relativeHeight="251660288" behindDoc="1" locked="0" layoutInCell="1" allowOverlap="1">
            <wp:simplePos x="0" y="0"/>
            <wp:positionH relativeFrom="column">
              <wp:posOffset>-18415</wp:posOffset>
            </wp:positionH>
            <wp:positionV relativeFrom="paragraph">
              <wp:posOffset>-166370</wp:posOffset>
            </wp:positionV>
            <wp:extent cx="8971915" cy="5660390"/>
            <wp:effectExtent l="0" t="0" r="635" b="16510"/>
            <wp:wrapNone/>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5"/>
                    <a:stretch>
                      <a:fillRect/>
                    </a:stretch>
                  </pic:blipFill>
                  <pic:spPr>
                    <a:xfrm>
                      <a:off x="0" y="0"/>
                      <a:ext cx="8971915" cy="5660390"/>
                    </a:xfrm>
                    <a:prstGeom prst="rect">
                      <a:avLst/>
                    </a:prstGeom>
                    <a:noFill/>
                    <a:ln>
                      <a:noFill/>
                    </a:ln>
                  </pic:spPr>
                </pic:pic>
              </a:graphicData>
            </a:graphic>
          </wp:anchor>
        </w:drawing>
      </w: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p>
    <w:p>
      <w:pPr>
        <w:pStyle w:val="5"/>
        <w:rPr>
          <w:rFonts w:hint="eastAsia" w:eastAsia="方正仿宋_GBK"/>
          <w:sz w:val="32"/>
          <w:szCs w:val="21"/>
        </w:rPr>
      </w:pPr>
      <w:r>
        <w:drawing>
          <wp:anchor distT="0" distB="0" distL="114300" distR="114300" simplePos="0" relativeHeight="251660288" behindDoc="1" locked="0" layoutInCell="1" allowOverlap="1">
            <wp:simplePos x="0" y="0"/>
            <wp:positionH relativeFrom="column">
              <wp:posOffset>-18415</wp:posOffset>
            </wp:positionH>
            <wp:positionV relativeFrom="paragraph">
              <wp:posOffset>-104775</wp:posOffset>
            </wp:positionV>
            <wp:extent cx="8994140" cy="5567045"/>
            <wp:effectExtent l="0" t="0" r="16510" b="14605"/>
            <wp:wrapNone/>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6"/>
                    <a:stretch>
                      <a:fillRect/>
                    </a:stretch>
                  </pic:blipFill>
                  <pic:spPr>
                    <a:xfrm>
                      <a:off x="0" y="0"/>
                      <a:ext cx="8994140" cy="5567045"/>
                    </a:xfrm>
                    <a:prstGeom prst="rect">
                      <a:avLst/>
                    </a:prstGeom>
                    <a:noFill/>
                    <a:ln>
                      <a:noFill/>
                    </a:ln>
                  </pic:spPr>
                </pic:pic>
              </a:graphicData>
            </a:graphic>
          </wp:anchor>
        </w:drawing>
      </w:r>
    </w:p>
    <w:p>
      <w:pPr>
        <w:pStyle w:val="5"/>
        <w:rPr>
          <w:rFonts w:hint="eastAsia" w:eastAsia="方正仿宋_GBK"/>
          <w:sz w:val="32"/>
          <w:szCs w:val="21"/>
        </w:rPr>
      </w:pPr>
    </w:p>
    <w:sectPr>
      <w:pgSz w:w="16838" w:h="11906" w:orient="landscape"/>
      <w:pgMar w:top="1797" w:right="1440" w:bottom="1797"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7720770"/>
      <w:docPartObj>
        <w:docPartGallery w:val="autotext"/>
      </w:docPartObj>
    </w:sdtPr>
    <w:sdtEndPr>
      <w:rPr>
        <w:rFonts w:ascii="Times New Roman" w:hAnsi="Times New Roman" w:cs="Times New Roman"/>
        <w:sz w:val="28"/>
        <w:szCs w:val="28"/>
      </w:rPr>
    </w:sdtEndPr>
    <w:sdtContent>
      <w:p>
        <w:pPr>
          <w:pStyle w:val="7"/>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rPr>
          <w:t>I</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QyZDY2ZDA5ODAyOTMzMTVmMzFjNWJlODkyNDBiMzkifQ=="/>
  </w:docVars>
  <w:rsids>
    <w:rsidRoot w:val="00AD1D93"/>
    <w:rsid w:val="00005E97"/>
    <w:rsid w:val="00011910"/>
    <w:rsid w:val="00011BE2"/>
    <w:rsid w:val="0001375D"/>
    <w:rsid w:val="00021324"/>
    <w:rsid w:val="00035FEE"/>
    <w:rsid w:val="00042AD6"/>
    <w:rsid w:val="00043CA0"/>
    <w:rsid w:val="000452A4"/>
    <w:rsid w:val="00046C5B"/>
    <w:rsid w:val="00053B94"/>
    <w:rsid w:val="00066E98"/>
    <w:rsid w:val="00067896"/>
    <w:rsid w:val="00067C4E"/>
    <w:rsid w:val="0008265E"/>
    <w:rsid w:val="00085DDC"/>
    <w:rsid w:val="0009400B"/>
    <w:rsid w:val="000A031C"/>
    <w:rsid w:val="000A2F1F"/>
    <w:rsid w:val="000B438D"/>
    <w:rsid w:val="000C5407"/>
    <w:rsid w:val="000C7132"/>
    <w:rsid w:val="000D2096"/>
    <w:rsid w:val="000D693A"/>
    <w:rsid w:val="000E34EA"/>
    <w:rsid w:val="000E412C"/>
    <w:rsid w:val="000E5B68"/>
    <w:rsid w:val="001048A6"/>
    <w:rsid w:val="00104983"/>
    <w:rsid w:val="00110742"/>
    <w:rsid w:val="00111E67"/>
    <w:rsid w:val="001127BF"/>
    <w:rsid w:val="0011491D"/>
    <w:rsid w:val="001318AB"/>
    <w:rsid w:val="00132E95"/>
    <w:rsid w:val="001376E4"/>
    <w:rsid w:val="00141C92"/>
    <w:rsid w:val="00150BE9"/>
    <w:rsid w:val="001608E5"/>
    <w:rsid w:val="0016305F"/>
    <w:rsid w:val="00180B04"/>
    <w:rsid w:val="001847E9"/>
    <w:rsid w:val="00191177"/>
    <w:rsid w:val="00191841"/>
    <w:rsid w:val="00196546"/>
    <w:rsid w:val="001A0DD3"/>
    <w:rsid w:val="001A2D10"/>
    <w:rsid w:val="001B0A5C"/>
    <w:rsid w:val="001B0EAD"/>
    <w:rsid w:val="001B3D8D"/>
    <w:rsid w:val="001B4422"/>
    <w:rsid w:val="001B4993"/>
    <w:rsid w:val="001B50BA"/>
    <w:rsid w:val="001B7270"/>
    <w:rsid w:val="001C04FA"/>
    <w:rsid w:val="001D0761"/>
    <w:rsid w:val="001D3107"/>
    <w:rsid w:val="001D33F4"/>
    <w:rsid w:val="001D383E"/>
    <w:rsid w:val="001E3909"/>
    <w:rsid w:val="001E71E8"/>
    <w:rsid w:val="001F1C66"/>
    <w:rsid w:val="001F3E3F"/>
    <w:rsid w:val="002006CC"/>
    <w:rsid w:val="0020742F"/>
    <w:rsid w:val="00214061"/>
    <w:rsid w:val="002177AF"/>
    <w:rsid w:val="00225ED4"/>
    <w:rsid w:val="00227E6E"/>
    <w:rsid w:val="002343FD"/>
    <w:rsid w:val="00237E51"/>
    <w:rsid w:val="00244EFD"/>
    <w:rsid w:val="00250877"/>
    <w:rsid w:val="0025624D"/>
    <w:rsid w:val="00261C20"/>
    <w:rsid w:val="00263C53"/>
    <w:rsid w:val="00264682"/>
    <w:rsid w:val="00264847"/>
    <w:rsid w:val="002704F5"/>
    <w:rsid w:val="00270FF1"/>
    <w:rsid w:val="00273489"/>
    <w:rsid w:val="00276BC0"/>
    <w:rsid w:val="002825B3"/>
    <w:rsid w:val="00284EED"/>
    <w:rsid w:val="002A151D"/>
    <w:rsid w:val="002A1A5F"/>
    <w:rsid w:val="002B20A5"/>
    <w:rsid w:val="002B2C19"/>
    <w:rsid w:val="002B3CAD"/>
    <w:rsid w:val="002B5EC1"/>
    <w:rsid w:val="002C1EFF"/>
    <w:rsid w:val="002C30E1"/>
    <w:rsid w:val="002C421A"/>
    <w:rsid w:val="002D6024"/>
    <w:rsid w:val="002E21F0"/>
    <w:rsid w:val="00313C7E"/>
    <w:rsid w:val="0032744A"/>
    <w:rsid w:val="00331B96"/>
    <w:rsid w:val="003354C1"/>
    <w:rsid w:val="00344A98"/>
    <w:rsid w:val="00345981"/>
    <w:rsid w:val="003517C1"/>
    <w:rsid w:val="00356524"/>
    <w:rsid w:val="003577BC"/>
    <w:rsid w:val="00372966"/>
    <w:rsid w:val="00372A2B"/>
    <w:rsid w:val="003734A1"/>
    <w:rsid w:val="003737A4"/>
    <w:rsid w:val="003812FC"/>
    <w:rsid w:val="00382836"/>
    <w:rsid w:val="00387826"/>
    <w:rsid w:val="003908C5"/>
    <w:rsid w:val="003929C1"/>
    <w:rsid w:val="003A1777"/>
    <w:rsid w:val="003A5C32"/>
    <w:rsid w:val="003C254B"/>
    <w:rsid w:val="003D4329"/>
    <w:rsid w:val="003D4D7D"/>
    <w:rsid w:val="003E6746"/>
    <w:rsid w:val="003E78D4"/>
    <w:rsid w:val="003F332C"/>
    <w:rsid w:val="00401BEE"/>
    <w:rsid w:val="00405CD9"/>
    <w:rsid w:val="0040722B"/>
    <w:rsid w:val="00410FF9"/>
    <w:rsid w:val="00411D03"/>
    <w:rsid w:val="00414D44"/>
    <w:rsid w:val="00415780"/>
    <w:rsid w:val="00417F0F"/>
    <w:rsid w:val="00424EB4"/>
    <w:rsid w:val="00425D0B"/>
    <w:rsid w:val="00435499"/>
    <w:rsid w:val="00442C35"/>
    <w:rsid w:val="0045242D"/>
    <w:rsid w:val="004524A9"/>
    <w:rsid w:val="00461389"/>
    <w:rsid w:val="00463576"/>
    <w:rsid w:val="004751F9"/>
    <w:rsid w:val="00477B97"/>
    <w:rsid w:val="00484E55"/>
    <w:rsid w:val="0048564D"/>
    <w:rsid w:val="0048763F"/>
    <w:rsid w:val="00495EF9"/>
    <w:rsid w:val="004A49E5"/>
    <w:rsid w:val="004B13CA"/>
    <w:rsid w:val="004C756B"/>
    <w:rsid w:val="004D2ED6"/>
    <w:rsid w:val="004E30B6"/>
    <w:rsid w:val="004E30D2"/>
    <w:rsid w:val="004E63BB"/>
    <w:rsid w:val="004F15DE"/>
    <w:rsid w:val="004F1716"/>
    <w:rsid w:val="004F23CC"/>
    <w:rsid w:val="004F5C0A"/>
    <w:rsid w:val="004F6A1F"/>
    <w:rsid w:val="00501D6E"/>
    <w:rsid w:val="00503171"/>
    <w:rsid w:val="00503CA4"/>
    <w:rsid w:val="00515892"/>
    <w:rsid w:val="00517A20"/>
    <w:rsid w:val="00523040"/>
    <w:rsid w:val="0053006C"/>
    <w:rsid w:val="00555B8F"/>
    <w:rsid w:val="0055714F"/>
    <w:rsid w:val="0056026D"/>
    <w:rsid w:val="005628EB"/>
    <w:rsid w:val="00563D83"/>
    <w:rsid w:val="00567009"/>
    <w:rsid w:val="005766C4"/>
    <w:rsid w:val="00597783"/>
    <w:rsid w:val="005A163B"/>
    <w:rsid w:val="005A68F6"/>
    <w:rsid w:val="005B1CC1"/>
    <w:rsid w:val="005B3F8F"/>
    <w:rsid w:val="005B5D4E"/>
    <w:rsid w:val="005B74DF"/>
    <w:rsid w:val="005B7501"/>
    <w:rsid w:val="005C11F4"/>
    <w:rsid w:val="005D2A8C"/>
    <w:rsid w:val="005D3E98"/>
    <w:rsid w:val="005E3041"/>
    <w:rsid w:val="005E4F75"/>
    <w:rsid w:val="005F087F"/>
    <w:rsid w:val="006029C0"/>
    <w:rsid w:val="006104AE"/>
    <w:rsid w:val="00645F3A"/>
    <w:rsid w:val="00655305"/>
    <w:rsid w:val="00665420"/>
    <w:rsid w:val="006671E3"/>
    <w:rsid w:val="0067597E"/>
    <w:rsid w:val="00676004"/>
    <w:rsid w:val="006903CC"/>
    <w:rsid w:val="006942FD"/>
    <w:rsid w:val="006951D3"/>
    <w:rsid w:val="006A0CE6"/>
    <w:rsid w:val="006A1E68"/>
    <w:rsid w:val="006A59C6"/>
    <w:rsid w:val="006A63A9"/>
    <w:rsid w:val="006A71EA"/>
    <w:rsid w:val="006C4FD6"/>
    <w:rsid w:val="006D48B4"/>
    <w:rsid w:val="006D63D4"/>
    <w:rsid w:val="006E6062"/>
    <w:rsid w:val="006F00B7"/>
    <w:rsid w:val="00703510"/>
    <w:rsid w:val="00712197"/>
    <w:rsid w:val="0072198F"/>
    <w:rsid w:val="007230E7"/>
    <w:rsid w:val="00727F27"/>
    <w:rsid w:val="007358DB"/>
    <w:rsid w:val="00736538"/>
    <w:rsid w:val="00765B0B"/>
    <w:rsid w:val="00766FB9"/>
    <w:rsid w:val="00773DEE"/>
    <w:rsid w:val="0078392C"/>
    <w:rsid w:val="00793F7F"/>
    <w:rsid w:val="007A0D83"/>
    <w:rsid w:val="007A1B79"/>
    <w:rsid w:val="007A6ABA"/>
    <w:rsid w:val="007B22F6"/>
    <w:rsid w:val="007C22F9"/>
    <w:rsid w:val="007E564E"/>
    <w:rsid w:val="007E62B4"/>
    <w:rsid w:val="00801E31"/>
    <w:rsid w:val="008048D6"/>
    <w:rsid w:val="00804B76"/>
    <w:rsid w:val="00806439"/>
    <w:rsid w:val="00810A0C"/>
    <w:rsid w:val="00814E14"/>
    <w:rsid w:val="0081654B"/>
    <w:rsid w:val="0082717E"/>
    <w:rsid w:val="008322E8"/>
    <w:rsid w:val="00837BA6"/>
    <w:rsid w:val="00842CA6"/>
    <w:rsid w:val="00845F1F"/>
    <w:rsid w:val="00846281"/>
    <w:rsid w:val="00846E07"/>
    <w:rsid w:val="00850808"/>
    <w:rsid w:val="00855782"/>
    <w:rsid w:val="0087676B"/>
    <w:rsid w:val="00891616"/>
    <w:rsid w:val="008A2569"/>
    <w:rsid w:val="008A280F"/>
    <w:rsid w:val="008A601B"/>
    <w:rsid w:val="008B5718"/>
    <w:rsid w:val="008C0D94"/>
    <w:rsid w:val="008C42D6"/>
    <w:rsid w:val="008C4481"/>
    <w:rsid w:val="008C44F4"/>
    <w:rsid w:val="008D4461"/>
    <w:rsid w:val="008E02A7"/>
    <w:rsid w:val="008E68B5"/>
    <w:rsid w:val="009016AB"/>
    <w:rsid w:val="0090653A"/>
    <w:rsid w:val="00906CBB"/>
    <w:rsid w:val="0091014B"/>
    <w:rsid w:val="00920124"/>
    <w:rsid w:val="00922965"/>
    <w:rsid w:val="009260CE"/>
    <w:rsid w:val="00927949"/>
    <w:rsid w:val="00930591"/>
    <w:rsid w:val="00931EDB"/>
    <w:rsid w:val="00936C05"/>
    <w:rsid w:val="00950C6D"/>
    <w:rsid w:val="009561E5"/>
    <w:rsid w:val="00960357"/>
    <w:rsid w:val="0096332A"/>
    <w:rsid w:val="009656B2"/>
    <w:rsid w:val="00974D31"/>
    <w:rsid w:val="00976B5B"/>
    <w:rsid w:val="00977B94"/>
    <w:rsid w:val="00981C3A"/>
    <w:rsid w:val="00984FC6"/>
    <w:rsid w:val="00992775"/>
    <w:rsid w:val="0099598F"/>
    <w:rsid w:val="009A1F48"/>
    <w:rsid w:val="009A2CA2"/>
    <w:rsid w:val="009B12BC"/>
    <w:rsid w:val="009B1CCE"/>
    <w:rsid w:val="009B20FE"/>
    <w:rsid w:val="009B2CE2"/>
    <w:rsid w:val="009B692E"/>
    <w:rsid w:val="009C1DE2"/>
    <w:rsid w:val="009C5749"/>
    <w:rsid w:val="009D2CAF"/>
    <w:rsid w:val="009D376D"/>
    <w:rsid w:val="009D4581"/>
    <w:rsid w:val="009F4616"/>
    <w:rsid w:val="009F6B27"/>
    <w:rsid w:val="009F75EA"/>
    <w:rsid w:val="00A11522"/>
    <w:rsid w:val="00A178B3"/>
    <w:rsid w:val="00A25136"/>
    <w:rsid w:val="00A33133"/>
    <w:rsid w:val="00A3465F"/>
    <w:rsid w:val="00A3551D"/>
    <w:rsid w:val="00A36A9C"/>
    <w:rsid w:val="00A419A2"/>
    <w:rsid w:val="00A42C10"/>
    <w:rsid w:val="00A461DA"/>
    <w:rsid w:val="00A46A77"/>
    <w:rsid w:val="00A5226B"/>
    <w:rsid w:val="00A65C97"/>
    <w:rsid w:val="00A735C0"/>
    <w:rsid w:val="00A756B6"/>
    <w:rsid w:val="00A835A7"/>
    <w:rsid w:val="00A91880"/>
    <w:rsid w:val="00A93A16"/>
    <w:rsid w:val="00A964C3"/>
    <w:rsid w:val="00AA5741"/>
    <w:rsid w:val="00AB22F9"/>
    <w:rsid w:val="00AC7327"/>
    <w:rsid w:val="00AD0205"/>
    <w:rsid w:val="00AD1B3C"/>
    <w:rsid w:val="00AD1D93"/>
    <w:rsid w:val="00AE3701"/>
    <w:rsid w:val="00AE6402"/>
    <w:rsid w:val="00AF2037"/>
    <w:rsid w:val="00AF7253"/>
    <w:rsid w:val="00B0798B"/>
    <w:rsid w:val="00B156F1"/>
    <w:rsid w:val="00B32C7D"/>
    <w:rsid w:val="00B34A6B"/>
    <w:rsid w:val="00B35633"/>
    <w:rsid w:val="00B365B3"/>
    <w:rsid w:val="00B448A4"/>
    <w:rsid w:val="00B4574D"/>
    <w:rsid w:val="00B50426"/>
    <w:rsid w:val="00B51991"/>
    <w:rsid w:val="00B618CF"/>
    <w:rsid w:val="00B6564B"/>
    <w:rsid w:val="00B6689F"/>
    <w:rsid w:val="00B66CA0"/>
    <w:rsid w:val="00B76BE3"/>
    <w:rsid w:val="00B778FF"/>
    <w:rsid w:val="00B973D4"/>
    <w:rsid w:val="00BA3D50"/>
    <w:rsid w:val="00BA7CB8"/>
    <w:rsid w:val="00BB0D9E"/>
    <w:rsid w:val="00BB690E"/>
    <w:rsid w:val="00BC3D13"/>
    <w:rsid w:val="00BC4774"/>
    <w:rsid w:val="00BD4898"/>
    <w:rsid w:val="00BD4B22"/>
    <w:rsid w:val="00BD54CA"/>
    <w:rsid w:val="00BE20E7"/>
    <w:rsid w:val="00BF2DF0"/>
    <w:rsid w:val="00C173B9"/>
    <w:rsid w:val="00C21E28"/>
    <w:rsid w:val="00C24A85"/>
    <w:rsid w:val="00C27256"/>
    <w:rsid w:val="00C30EAA"/>
    <w:rsid w:val="00C30F09"/>
    <w:rsid w:val="00C35F9C"/>
    <w:rsid w:val="00C4071E"/>
    <w:rsid w:val="00C53715"/>
    <w:rsid w:val="00C6111B"/>
    <w:rsid w:val="00C64F38"/>
    <w:rsid w:val="00C656EB"/>
    <w:rsid w:val="00C73F97"/>
    <w:rsid w:val="00C741A1"/>
    <w:rsid w:val="00C8348B"/>
    <w:rsid w:val="00C965AC"/>
    <w:rsid w:val="00C96D9A"/>
    <w:rsid w:val="00CA2054"/>
    <w:rsid w:val="00CA7B3F"/>
    <w:rsid w:val="00CB02D6"/>
    <w:rsid w:val="00CB63BA"/>
    <w:rsid w:val="00CC137B"/>
    <w:rsid w:val="00CD0BC1"/>
    <w:rsid w:val="00CD59E2"/>
    <w:rsid w:val="00CE324D"/>
    <w:rsid w:val="00CE5044"/>
    <w:rsid w:val="00CF4163"/>
    <w:rsid w:val="00D01A5E"/>
    <w:rsid w:val="00D06052"/>
    <w:rsid w:val="00D11773"/>
    <w:rsid w:val="00D126ED"/>
    <w:rsid w:val="00D13155"/>
    <w:rsid w:val="00D13A2C"/>
    <w:rsid w:val="00D17EC0"/>
    <w:rsid w:val="00D21077"/>
    <w:rsid w:val="00D22079"/>
    <w:rsid w:val="00D23351"/>
    <w:rsid w:val="00D2405B"/>
    <w:rsid w:val="00D266BD"/>
    <w:rsid w:val="00D337B1"/>
    <w:rsid w:val="00D378B2"/>
    <w:rsid w:val="00D41956"/>
    <w:rsid w:val="00D474C6"/>
    <w:rsid w:val="00D57DC6"/>
    <w:rsid w:val="00D71A6B"/>
    <w:rsid w:val="00D8481B"/>
    <w:rsid w:val="00D90880"/>
    <w:rsid w:val="00D94E61"/>
    <w:rsid w:val="00DA01CF"/>
    <w:rsid w:val="00DA51CC"/>
    <w:rsid w:val="00DB4237"/>
    <w:rsid w:val="00DB53FC"/>
    <w:rsid w:val="00DB773A"/>
    <w:rsid w:val="00DC1C20"/>
    <w:rsid w:val="00DC2F85"/>
    <w:rsid w:val="00DC35AC"/>
    <w:rsid w:val="00DC5031"/>
    <w:rsid w:val="00DD1465"/>
    <w:rsid w:val="00DD74A1"/>
    <w:rsid w:val="00DD7EA1"/>
    <w:rsid w:val="00DE40A4"/>
    <w:rsid w:val="00DE6793"/>
    <w:rsid w:val="00E048D6"/>
    <w:rsid w:val="00E22428"/>
    <w:rsid w:val="00E23316"/>
    <w:rsid w:val="00E24B26"/>
    <w:rsid w:val="00E27E05"/>
    <w:rsid w:val="00E41959"/>
    <w:rsid w:val="00E47725"/>
    <w:rsid w:val="00E52AC5"/>
    <w:rsid w:val="00E57979"/>
    <w:rsid w:val="00E8126A"/>
    <w:rsid w:val="00EA1BDF"/>
    <w:rsid w:val="00EA6E1A"/>
    <w:rsid w:val="00EA7274"/>
    <w:rsid w:val="00EB1B74"/>
    <w:rsid w:val="00EC5409"/>
    <w:rsid w:val="00EC6C05"/>
    <w:rsid w:val="00EE07BF"/>
    <w:rsid w:val="00EE2810"/>
    <w:rsid w:val="00EE4588"/>
    <w:rsid w:val="00EE5BD7"/>
    <w:rsid w:val="00EF05EB"/>
    <w:rsid w:val="00EF6EE2"/>
    <w:rsid w:val="00F037A9"/>
    <w:rsid w:val="00F10754"/>
    <w:rsid w:val="00F11BFE"/>
    <w:rsid w:val="00F17DD9"/>
    <w:rsid w:val="00F2035C"/>
    <w:rsid w:val="00F21B3D"/>
    <w:rsid w:val="00F23620"/>
    <w:rsid w:val="00F3157F"/>
    <w:rsid w:val="00F344F8"/>
    <w:rsid w:val="00F34AD9"/>
    <w:rsid w:val="00F419AB"/>
    <w:rsid w:val="00F47DE0"/>
    <w:rsid w:val="00F53F6F"/>
    <w:rsid w:val="00F543C7"/>
    <w:rsid w:val="00F6161C"/>
    <w:rsid w:val="00F61B87"/>
    <w:rsid w:val="00F6636C"/>
    <w:rsid w:val="00F71A43"/>
    <w:rsid w:val="00F731F4"/>
    <w:rsid w:val="00F7322F"/>
    <w:rsid w:val="00F82BA8"/>
    <w:rsid w:val="00F96AEB"/>
    <w:rsid w:val="00F9742A"/>
    <w:rsid w:val="00FB72E6"/>
    <w:rsid w:val="00FC07BD"/>
    <w:rsid w:val="00FC2804"/>
    <w:rsid w:val="00FC3CE3"/>
    <w:rsid w:val="00FC44F3"/>
    <w:rsid w:val="00FD1B94"/>
    <w:rsid w:val="00FD52E6"/>
    <w:rsid w:val="00FD5CF9"/>
    <w:rsid w:val="00FE01C0"/>
    <w:rsid w:val="00FE18AA"/>
    <w:rsid w:val="00FE4166"/>
    <w:rsid w:val="00FF3300"/>
    <w:rsid w:val="39F27B35"/>
    <w:rsid w:val="7C6A62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3">
    <w:name w:val="Default Paragraph Font"/>
    <w:autoRedefine/>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Normal Indent"/>
    <w:basedOn w:val="1"/>
    <w:qFormat/>
    <w:uiPriority w:val="99"/>
    <w:pPr>
      <w:ind w:firstLine="420" w:firstLineChars="200"/>
    </w:pPr>
  </w:style>
  <w:style w:type="paragraph" w:styleId="6">
    <w:name w:val="toc 3"/>
    <w:basedOn w:val="1"/>
    <w:next w:val="1"/>
    <w:autoRedefine/>
    <w:unhideWhenUsed/>
    <w:qFormat/>
    <w:uiPriority w:val="39"/>
    <w:pPr>
      <w:ind w:left="840" w:leftChars="400"/>
    </w:pPr>
  </w:style>
  <w:style w:type="paragraph" w:styleId="7">
    <w:name w:val="footer"/>
    <w:basedOn w:val="1"/>
    <w:link w:val="16"/>
    <w:unhideWhenUsed/>
    <w:uiPriority w:val="99"/>
    <w:pPr>
      <w:tabs>
        <w:tab w:val="center" w:pos="4153"/>
        <w:tab w:val="right" w:pos="8306"/>
      </w:tabs>
      <w:snapToGrid w:val="0"/>
      <w:jc w:val="left"/>
    </w:pPr>
    <w:rPr>
      <w:sz w:val="18"/>
      <w:szCs w:val="18"/>
    </w:rPr>
  </w:style>
  <w:style w:type="paragraph" w:styleId="8">
    <w:name w:val="header"/>
    <w:basedOn w:val="1"/>
    <w:link w:val="15"/>
    <w:unhideWhenUsed/>
    <w:uiPriority w:val="99"/>
    <w:pPr>
      <w:tabs>
        <w:tab w:val="center" w:pos="4153"/>
        <w:tab w:val="right" w:pos="8306"/>
      </w:tabs>
      <w:snapToGrid w:val="0"/>
      <w:jc w:val="center"/>
    </w:pPr>
    <w:rPr>
      <w:sz w:val="18"/>
      <w:szCs w:val="18"/>
    </w:rPr>
  </w:style>
  <w:style w:type="paragraph" w:styleId="9">
    <w:name w:val="toc 1"/>
    <w:basedOn w:val="1"/>
    <w:next w:val="1"/>
    <w:autoRedefine/>
    <w:unhideWhenUsed/>
    <w:qFormat/>
    <w:uiPriority w:val="39"/>
  </w:style>
  <w:style w:type="paragraph" w:styleId="10">
    <w:name w:val="toc 2"/>
    <w:basedOn w:val="1"/>
    <w:next w:val="1"/>
    <w:autoRedefine/>
    <w:unhideWhenUsed/>
    <w:qFormat/>
    <w:uiPriority w:val="39"/>
    <w:pPr>
      <w:ind w:left="420" w:leftChars="200"/>
    </w:pPr>
  </w:style>
  <w:style w:type="table" w:styleId="12">
    <w:name w:val="Table Grid"/>
    <w:basedOn w:val="1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autoRedefine/>
    <w:unhideWhenUsed/>
    <w:qFormat/>
    <w:uiPriority w:val="99"/>
    <w:rPr>
      <w:color w:val="0563C1" w:themeColor="hyperlink"/>
      <w:u w:val="single"/>
      <w14:textFill>
        <w14:solidFill>
          <w14:schemeClr w14:val="hlink"/>
        </w14:solidFill>
      </w14:textFill>
    </w:rPr>
  </w:style>
  <w:style w:type="character" w:customStyle="1" w:styleId="15">
    <w:name w:val="页眉 字符"/>
    <w:basedOn w:val="13"/>
    <w:link w:val="8"/>
    <w:autoRedefine/>
    <w:qFormat/>
    <w:uiPriority w:val="99"/>
    <w:rPr>
      <w:sz w:val="18"/>
      <w:szCs w:val="18"/>
    </w:rPr>
  </w:style>
  <w:style w:type="character" w:customStyle="1" w:styleId="16">
    <w:name w:val="页脚 字符"/>
    <w:basedOn w:val="13"/>
    <w:link w:val="7"/>
    <w:autoRedefine/>
    <w:qFormat/>
    <w:uiPriority w:val="99"/>
    <w:rPr>
      <w:sz w:val="18"/>
      <w:szCs w:val="18"/>
    </w:rPr>
  </w:style>
  <w:style w:type="character" w:customStyle="1" w:styleId="17">
    <w:name w:val="标题 1 字符"/>
    <w:basedOn w:val="13"/>
    <w:link w:val="2"/>
    <w:autoRedefine/>
    <w:qFormat/>
    <w:uiPriority w:val="9"/>
    <w:rPr>
      <w:b/>
      <w:bCs/>
      <w:kern w:val="44"/>
      <w:sz w:val="44"/>
      <w:szCs w:val="44"/>
    </w:rPr>
  </w:style>
  <w:style w:type="character" w:customStyle="1" w:styleId="18">
    <w:name w:val="标题 2 字符"/>
    <w:basedOn w:val="13"/>
    <w:link w:val="3"/>
    <w:autoRedefine/>
    <w:qFormat/>
    <w:uiPriority w:val="9"/>
    <w:rPr>
      <w:rFonts w:asciiTheme="majorHAnsi" w:hAnsiTheme="majorHAnsi" w:eastAsiaTheme="majorEastAsia" w:cstheme="majorBidi"/>
      <w:b/>
      <w:bCs/>
      <w:sz w:val="32"/>
      <w:szCs w:val="32"/>
    </w:rPr>
  </w:style>
  <w:style w:type="character" w:customStyle="1" w:styleId="19">
    <w:name w:val="标题 3 字符"/>
    <w:basedOn w:val="13"/>
    <w:link w:val="4"/>
    <w:autoRedefine/>
    <w:qFormat/>
    <w:uiPriority w:val="9"/>
    <w:rPr>
      <w:b/>
      <w:bCs/>
      <w:sz w:val="32"/>
      <w:szCs w:val="32"/>
    </w:rPr>
  </w:style>
  <w:style w:type="table" w:customStyle="1" w:styleId="20">
    <w:name w:val="网格型1"/>
    <w:basedOn w:val="11"/>
    <w:autoRedefine/>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2"/>
    <w:basedOn w:val="11"/>
    <w:autoRedefine/>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EBB0F5-BD50-4CEA-879B-A1D420415C95}">
  <ds:schemaRefs/>
</ds:datastoreItem>
</file>

<file path=docProps/app.xml><?xml version="1.0" encoding="utf-8"?>
<Properties xmlns="http://schemas.openxmlformats.org/officeDocument/2006/extended-properties" xmlns:vt="http://schemas.openxmlformats.org/officeDocument/2006/docPropsVTypes">
  <Template>Normal</Template>
  <Pages>60</Pages>
  <Words>4703</Words>
  <Characters>26811</Characters>
  <Lines>223</Lines>
  <Paragraphs>62</Paragraphs>
  <TotalTime>0</TotalTime>
  <ScaleCrop>false</ScaleCrop>
  <LinksUpToDate>false</LinksUpToDate>
  <CharactersWithSpaces>31452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2023-07-07T01:06:00Z</dcterms:created>
  <dc:creator>Windows 用户</dc:creator>
  <cp:lastModifiedBy> 倚栏 装深沉</cp:lastModifiedBy>
  <dcterms:modified xsi:type="dcterms:W3CDTF">2024-04-23T16:41:14Z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87C781259E9D476184677D7DBBB74428_13</vt:lpwstr>
  </property>
</Properties>
</file>